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4896"/>
        <w:gridCol w:w="4742"/>
      </w:tblGrid>
      <w:tr w:rsidR="00000000">
        <w:trPr>
          <w:divId w:val="1680349064"/>
          <w:tblCellSpacing w:w="0" w:type="dxa"/>
        </w:trPr>
        <w:tc>
          <w:tcPr>
            <w:tcW w:w="1600" w:type="pct"/>
            <w:tcBorders>
              <w:top w:val="nil"/>
              <w:left w:val="nil"/>
              <w:bottom w:val="nil"/>
              <w:right w:val="nil"/>
            </w:tcBorders>
            <w:vAlign w:val="center"/>
            <w:hideMark/>
          </w:tcPr>
          <w:p w:rsidR="00000000" w:rsidRDefault="00587DCC">
            <w:pPr>
              <w:rPr>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0952" cy="542857"/>
                  <wp:effectExtent l="0" t="0" r="635" b="0"/>
                  <wp:wrapSquare wrapText="bothSides"/>
                  <wp:docPr id="2" name="Picture 2" descr="https://www.knowledgeshare.nhs.uk/index.php?Request=image&amp;FileStore=uploads&amp;MaxWidth=250&amp;MaxHeight=120&amp;Path=%2Flogos%2Flks%2Fsponsor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nowledgeshare.nhs.uk/index.php?Request=image&amp;FileStore=uploads&amp;MaxWidth=250&amp;MaxHeight=120&amp;Path=%2Flogos%2Flks%2Fsponsor_logo_2.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0952" cy="5428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0" w:type="pct"/>
            <w:tcBorders>
              <w:top w:val="nil"/>
              <w:left w:val="nil"/>
              <w:bottom w:val="nil"/>
              <w:right w:val="nil"/>
            </w:tcBorders>
            <w:vAlign w:val="center"/>
            <w:hideMark/>
          </w:tcPr>
          <w:p w:rsidR="00000000" w:rsidRDefault="00587DCC">
            <w:pPr>
              <w:rPr>
                <w:rFonts w:eastAsia="Times New Roman"/>
                <w:sz w:val="20"/>
                <w:szCs w:val="20"/>
              </w:rPr>
            </w:pPr>
            <w:r>
              <w:rPr>
                <w:rFonts w:eastAsia="Times New Roman"/>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380952" cy="638095"/>
                  <wp:effectExtent l="0" t="0" r="635" b="0"/>
                  <wp:wrapSquare wrapText="bothSides"/>
                  <wp:docPr id="3" name="Picture 3" descr="https://www.knowledgeshare.nhs.uk/index.php?Request=image&amp;FileStore=uploads&amp;MaxWidth=250&amp;MaxHeight=120&amp;Path=%2Flogos%2Flks%2Flks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nowledgeshare.nhs.uk/index.php?Request=image&amp;FileStore=uploads&amp;MaxWidth=250&amp;MaxHeight=120&amp;Path=%2Flogos%2Flks%2Flks_logo_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380952" cy="638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00000" w:rsidRDefault="00587DCC">
      <w:pPr>
        <w:pStyle w:val="Heading1"/>
        <w:rPr>
          <w:rFonts w:eastAsia="Times New Roman"/>
        </w:rPr>
      </w:pPr>
      <w:r>
        <w:rPr>
          <w:rFonts w:eastAsia="Times New Roman"/>
        </w:rPr>
        <w:t>Orthopaedics trauma symposium 2025 reference list</w:t>
      </w:r>
    </w:p>
    <w:p w:rsidR="00000000" w:rsidRDefault="00587DCC">
      <w:pPr>
        <w:pStyle w:val="Heading2"/>
        <w:rPr>
          <w:rFonts w:eastAsia="Times New Roman"/>
        </w:rPr>
      </w:pPr>
      <w:r>
        <w:rPr>
          <w:rFonts w:eastAsia="Times New Roman"/>
        </w:rPr>
        <w:t>Evidence search report</w:t>
      </w:r>
    </w:p>
    <w:p w:rsidR="00000000" w:rsidRDefault="00587DCC">
      <w:pPr>
        <w:pStyle w:val="Heading2"/>
        <w:spacing w:after="200"/>
        <w:rPr>
          <w:rFonts w:eastAsia="Times New Roman"/>
        </w:rPr>
      </w:pPr>
      <w:r>
        <w:rPr>
          <w:rFonts w:eastAsia="Times New Roman"/>
        </w:rPr>
        <w:t>Completed: 7th February, 2025</w:t>
      </w:r>
    </w:p>
    <w:p w:rsidR="00000000" w:rsidRDefault="00587DCC">
      <w:pPr>
        <w:pStyle w:val="NormalWeb"/>
      </w:pPr>
      <w:r>
        <w:t xml:space="preserve">If you would like to discuss the findings below or require an additional search, please contact: Surrey and Sussex Library and Knowledge Services at </w:t>
      </w:r>
      <w:hyperlink r:id="rId7" w:tgtFrame="_top" w:history="1">
        <w:r>
          <w:rPr>
            <w:rStyle w:val="Hyperlink"/>
          </w:rPr>
          <w:t>library.esh@nhs.net</w:t>
        </w:r>
      </w:hyperlink>
    </w:p>
    <w:p w:rsidR="00000000" w:rsidRDefault="00587DCC">
      <w:pPr>
        <w:pStyle w:val="NormalWeb"/>
      </w:pPr>
      <w:r>
        <w:t>Please acknowledge this work in an</w:t>
      </w:r>
      <w:r>
        <w:t>y resulting paper or presentation as:</w:t>
      </w:r>
      <w:r>
        <w:br/>
        <w:t xml:space="preserve">Evidence search: Orthopaedics trauma symposium 2025 reference list. Lucy Wells. 7th February, 2025. REDHILL, UK: Surrey and Sussex Library and Knowledge Services. </w:t>
      </w:r>
    </w:p>
    <w:p w:rsidR="00000000" w:rsidRDefault="00587DCC">
      <w:pPr>
        <w:rPr>
          <w:rFonts w:eastAsia="Times New Roman"/>
        </w:rPr>
      </w:pPr>
    </w:p>
    <w:p w:rsidR="00000000" w:rsidRDefault="00587DCC">
      <w:pPr>
        <w:pStyle w:val="Heading2"/>
        <w:divId w:val="1358434264"/>
        <w:rPr>
          <w:rFonts w:eastAsia="Times New Roman"/>
        </w:rPr>
      </w:pPr>
      <w:r>
        <w:rPr>
          <w:rFonts w:eastAsia="Times New Roman"/>
        </w:rPr>
        <w:t>Contents</w:t>
      </w:r>
    </w:p>
    <w:p w:rsidR="00000000" w:rsidRDefault="00587DCC">
      <w:pPr>
        <w:pStyle w:val="tocsectionheading1"/>
        <w:divId w:val="1358434264"/>
      </w:pPr>
      <w:hyperlink w:anchor="SearchTermsAndNotes" w:history="1">
        <w:r>
          <w:rPr>
            <w:color w:val="000000"/>
          </w:rPr>
          <w:t>A</w:t>
        </w:r>
        <w:r>
          <w:rPr>
            <w:color w:val="000000"/>
          </w:rPr>
          <w:t>. Search terms and notes</w:t>
        </w:r>
      </w:hyperlink>
    </w:p>
    <w:p w:rsidR="00000000" w:rsidRDefault="00587DCC">
      <w:pPr>
        <w:pStyle w:val="tocsectionheading1"/>
        <w:divId w:val="1358434264"/>
      </w:pPr>
      <w:hyperlink w:anchor="HowToAccessFullText" w:history="1">
        <w:r>
          <w:rPr>
            <w:color w:val="000000"/>
          </w:rPr>
          <w:t>B. How to access full text</w:t>
        </w:r>
      </w:hyperlink>
    </w:p>
    <w:p w:rsidR="00000000" w:rsidRDefault="00587DCC">
      <w:pPr>
        <w:pStyle w:val="tocsectionheading1"/>
        <w:divId w:val="1358434264"/>
      </w:pPr>
      <w:hyperlink w:anchor="SearchResults" w:history="1">
        <w:r>
          <w:rPr>
            <w:color w:val="000000"/>
          </w:rPr>
          <w:t>C. Search results</w:t>
        </w:r>
      </w:hyperlink>
    </w:p>
    <w:p w:rsidR="00000000" w:rsidRDefault="00587DCC">
      <w:pPr>
        <w:pStyle w:val="tocitemgroup1"/>
        <w:divId w:val="1358434264"/>
      </w:pPr>
      <w:hyperlink w:anchor="Section170733" w:history="1">
        <w:r>
          <w:rPr>
            <w:rStyle w:val="toc"/>
            <w:color w:val="000000"/>
          </w:rPr>
          <w:t>i. National and International Guidance</w:t>
        </w:r>
      </w:hyperlink>
    </w:p>
    <w:p w:rsidR="00000000" w:rsidRDefault="00587DCC">
      <w:pPr>
        <w:numPr>
          <w:ilvl w:val="0"/>
          <w:numId w:val="1"/>
        </w:numPr>
        <w:ind w:left="150"/>
        <w:divId w:val="1358434264"/>
        <w:rPr>
          <w:rFonts w:ascii="Calibri" w:eastAsia="Times New Roman" w:hAnsi="Calibri" w:cs="Calibri"/>
          <w:sz w:val="22"/>
          <w:szCs w:val="22"/>
        </w:rPr>
      </w:pPr>
      <w:r>
        <w:rPr>
          <w:rStyle w:val="tocitempublisher"/>
          <w:rFonts w:eastAsia="Times New Roman"/>
          <w:sz w:val="22"/>
          <w:szCs w:val="22"/>
        </w:rPr>
        <w:t>National Institute for Health and</w:t>
      </w:r>
      <w:r>
        <w:rPr>
          <w:rStyle w:val="tocitempublisher"/>
          <w:rFonts w:eastAsia="Times New Roman"/>
          <w:sz w:val="22"/>
          <w:szCs w:val="22"/>
        </w:rPr>
        <w:t xml:space="preserve"> Care Excellence (NICE),</w:t>
      </w:r>
      <w:r>
        <w:rPr>
          <w:rFonts w:ascii="Calibri" w:eastAsia="Times New Roman" w:hAnsi="Calibri" w:cs="Calibri"/>
          <w:sz w:val="22"/>
          <w:szCs w:val="22"/>
        </w:rPr>
        <w:t xml:space="preserve"> </w:t>
      </w:r>
      <w:hyperlink w:anchor="Research2781661" w:history="1">
        <w:r>
          <w:rPr>
            <w:rStyle w:val="tocitem"/>
            <w:rFonts w:eastAsia="Times New Roman"/>
            <w:color w:val="000000"/>
            <w:sz w:val="22"/>
            <w:szCs w:val="22"/>
          </w:rPr>
          <w:t>Fractures (complex): assessment and management</w:t>
        </w:r>
      </w:hyperlink>
    </w:p>
    <w:p w:rsidR="00000000" w:rsidRDefault="00587DCC">
      <w:pPr>
        <w:numPr>
          <w:ilvl w:val="0"/>
          <w:numId w:val="1"/>
        </w:numPr>
        <w:ind w:left="150"/>
        <w:divId w:val="1358434264"/>
        <w:rPr>
          <w:rFonts w:ascii="Calibri" w:eastAsia="Times New Roman" w:hAnsi="Calibri" w:cs="Calibri"/>
          <w:sz w:val="22"/>
          <w:szCs w:val="22"/>
        </w:rPr>
      </w:pPr>
      <w:r>
        <w:rPr>
          <w:rStyle w:val="tocitempublisher"/>
          <w:rFonts w:eastAsia="Times New Roman"/>
          <w:sz w:val="22"/>
          <w:szCs w:val="22"/>
        </w:rPr>
        <w:t>Healthcare Improvement Scotland,</w:t>
      </w:r>
      <w:r>
        <w:rPr>
          <w:rFonts w:ascii="Calibri" w:eastAsia="Times New Roman" w:hAnsi="Calibri" w:cs="Calibri"/>
          <w:sz w:val="22"/>
          <w:szCs w:val="22"/>
        </w:rPr>
        <w:t xml:space="preserve"> </w:t>
      </w:r>
      <w:hyperlink w:anchor="Research2781708" w:history="1">
        <w:r>
          <w:rPr>
            <w:rStyle w:val="tocitem"/>
            <w:rFonts w:eastAsia="Times New Roman"/>
            <w:color w:val="000000"/>
            <w:sz w:val="22"/>
            <w:szCs w:val="22"/>
          </w:rPr>
          <w:t>Management of osteoporosis and the prevention of fragility fractures</w:t>
        </w:r>
      </w:hyperlink>
    </w:p>
    <w:p w:rsidR="00000000" w:rsidRDefault="00587DCC">
      <w:pPr>
        <w:numPr>
          <w:ilvl w:val="0"/>
          <w:numId w:val="1"/>
        </w:numPr>
        <w:ind w:left="150"/>
        <w:divId w:val="1358434264"/>
        <w:rPr>
          <w:rFonts w:ascii="Calibri" w:eastAsia="Times New Roman" w:hAnsi="Calibri" w:cs="Calibri"/>
          <w:sz w:val="22"/>
          <w:szCs w:val="22"/>
        </w:rPr>
      </w:pPr>
      <w:r>
        <w:rPr>
          <w:rStyle w:val="tocitempublisher"/>
          <w:rFonts w:eastAsia="Times New Roman"/>
          <w:sz w:val="22"/>
          <w:szCs w:val="22"/>
        </w:rPr>
        <w:t>British Orthopaedic Associatation,</w:t>
      </w:r>
      <w:r>
        <w:rPr>
          <w:rFonts w:ascii="Calibri" w:eastAsia="Times New Roman" w:hAnsi="Calibri" w:cs="Calibri"/>
          <w:sz w:val="22"/>
          <w:szCs w:val="22"/>
        </w:rPr>
        <w:t xml:space="preserve"> </w:t>
      </w:r>
      <w:hyperlink w:anchor="Research2781667" w:history="1">
        <w:r>
          <w:rPr>
            <w:rStyle w:val="tocitem"/>
            <w:rFonts w:eastAsia="Times New Roman"/>
            <w:color w:val="000000"/>
            <w:sz w:val="22"/>
            <w:szCs w:val="22"/>
          </w:rPr>
          <w:t>BOAST - Fracture Related Infections (FRI)</w:t>
        </w:r>
      </w:hyperlink>
    </w:p>
    <w:p w:rsidR="00000000" w:rsidRDefault="00587DCC">
      <w:pPr>
        <w:numPr>
          <w:ilvl w:val="0"/>
          <w:numId w:val="1"/>
        </w:numPr>
        <w:ind w:left="150"/>
        <w:divId w:val="1358434264"/>
        <w:rPr>
          <w:rFonts w:ascii="Calibri" w:eastAsia="Times New Roman" w:hAnsi="Calibri" w:cs="Calibri"/>
          <w:sz w:val="22"/>
          <w:szCs w:val="22"/>
        </w:rPr>
      </w:pPr>
      <w:r>
        <w:rPr>
          <w:rStyle w:val="tocitempublisher"/>
          <w:rFonts w:eastAsia="Times New Roman"/>
          <w:sz w:val="22"/>
          <w:szCs w:val="22"/>
        </w:rPr>
        <w:t>National Institute for Health and Care Excellence (NICE),</w:t>
      </w:r>
      <w:r>
        <w:rPr>
          <w:rFonts w:ascii="Calibri" w:eastAsia="Times New Roman" w:hAnsi="Calibri" w:cs="Calibri"/>
          <w:sz w:val="22"/>
          <w:szCs w:val="22"/>
        </w:rPr>
        <w:t xml:space="preserve"> </w:t>
      </w:r>
      <w:hyperlink w:anchor="Research2781662" w:history="1">
        <w:r>
          <w:rPr>
            <w:rStyle w:val="tocitem"/>
            <w:rFonts w:eastAsia="Times New Roman"/>
            <w:color w:val="000000"/>
            <w:sz w:val="22"/>
            <w:szCs w:val="22"/>
          </w:rPr>
          <w:t>Fractures (non-complex): assessment and manag</w:t>
        </w:r>
        <w:r>
          <w:rPr>
            <w:rStyle w:val="tocitem"/>
            <w:rFonts w:eastAsia="Times New Roman"/>
            <w:color w:val="000000"/>
            <w:sz w:val="22"/>
            <w:szCs w:val="22"/>
          </w:rPr>
          <w:t>ement</w:t>
        </w:r>
      </w:hyperlink>
    </w:p>
    <w:p w:rsidR="00000000" w:rsidRDefault="00587DCC">
      <w:pPr>
        <w:pStyle w:val="tocitemgroup1"/>
        <w:divId w:val="1358434264"/>
      </w:pPr>
      <w:hyperlink w:anchor="Section170735" w:history="1">
        <w:r>
          <w:rPr>
            <w:rStyle w:val="toc"/>
            <w:color w:val="000000"/>
          </w:rPr>
          <w:t>ii. Systematic Review</w:t>
        </w:r>
      </w:hyperlink>
    </w:p>
    <w:p w:rsidR="00000000" w:rsidRDefault="00587DCC">
      <w:pPr>
        <w:numPr>
          <w:ilvl w:val="0"/>
          <w:numId w:val="2"/>
        </w:numPr>
        <w:ind w:left="150"/>
        <w:divId w:val="1358434264"/>
        <w:rPr>
          <w:rFonts w:ascii="Calibri" w:eastAsia="Times New Roman" w:hAnsi="Calibri" w:cs="Calibri"/>
          <w:sz w:val="22"/>
          <w:szCs w:val="22"/>
        </w:rPr>
      </w:pPr>
      <w:r>
        <w:rPr>
          <w:rStyle w:val="tocitempublisher"/>
          <w:rFonts w:eastAsia="Times New Roman"/>
          <w:sz w:val="22"/>
          <w:szCs w:val="22"/>
        </w:rPr>
        <w:t>International Information and Engineering Technology Association,</w:t>
      </w:r>
      <w:r>
        <w:rPr>
          <w:rFonts w:ascii="Calibri" w:eastAsia="Times New Roman" w:hAnsi="Calibri" w:cs="Calibri"/>
          <w:sz w:val="22"/>
          <w:szCs w:val="22"/>
        </w:rPr>
        <w:t xml:space="preserve"> </w:t>
      </w:r>
      <w:hyperlink w:anchor="Research2781787" w:history="1">
        <w:r>
          <w:rPr>
            <w:rStyle w:val="tocitem"/>
            <w:rFonts w:eastAsia="Times New Roman"/>
            <w:color w:val="000000"/>
            <w:sz w:val="22"/>
            <w:szCs w:val="22"/>
          </w:rPr>
          <w:t>A Systematic Review on Artificial Intelligence in Orthopedic Surgery</w:t>
        </w:r>
      </w:hyperlink>
    </w:p>
    <w:p w:rsidR="00000000" w:rsidRDefault="00587DCC">
      <w:pPr>
        <w:numPr>
          <w:ilvl w:val="0"/>
          <w:numId w:val="2"/>
        </w:numPr>
        <w:ind w:left="150"/>
        <w:divId w:val="1358434264"/>
        <w:rPr>
          <w:rFonts w:ascii="Calibri" w:eastAsia="Times New Roman" w:hAnsi="Calibri" w:cs="Calibri"/>
          <w:sz w:val="22"/>
          <w:szCs w:val="22"/>
        </w:rPr>
      </w:pPr>
      <w:r>
        <w:rPr>
          <w:rStyle w:val="tocitempublisher"/>
          <w:rFonts w:eastAsia="Times New Roman"/>
          <w:sz w:val="22"/>
          <w:szCs w:val="22"/>
        </w:rPr>
        <w:t>Bone &amp; joint open,</w:t>
      </w:r>
      <w:r>
        <w:rPr>
          <w:rFonts w:ascii="Calibri" w:eastAsia="Times New Roman" w:hAnsi="Calibri" w:cs="Calibri"/>
          <w:sz w:val="22"/>
          <w:szCs w:val="22"/>
        </w:rPr>
        <w:t xml:space="preserve"> </w:t>
      </w:r>
      <w:hyperlink w:anchor="Research2781790" w:history="1">
        <w:r>
          <w:rPr>
            <w:rStyle w:val="tocitem"/>
            <w:rFonts w:eastAsia="Times New Roman"/>
            <w:color w:val="000000"/>
            <w:sz w:val="22"/>
            <w:szCs w:val="22"/>
          </w:rPr>
          <w:t>Systematic review of machine-learning models in orthopaedic trauma</w:t>
        </w:r>
      </w:hyperlink>
    </w:p>
    <w:p w:rsidR="00000000" w:rsidRDefault="00587DCC">
      <w:pPr>
        <w:pStyle w:val="tocitemgroup1"/>
        <w:divId w:val="1358434264"/>
      </w:pPr>
      <w:hyperlink w:anchor="Section170737" w:history="1">
        <w:r>
          <w:rPr>
            <w:rStyle w:val="toc"/>
            <w:color w:val="000000"/>
          </w:rPr>
          <w:t>iii. Original Research</w:t>
        </w:r>
      </w:hyperlink>
    </w:p>
    <w:p w:rsidR="00000000" w:rsidRDefault="00587DCC">
      <w:pPr>
        <w:numPr>
          <w:ilvl w:val="0"/>
          <w:numId w:val="3"/>
        </w:numPr>
        <w:ind w:left="150"/>
        <w:divId w:val="1358434264"/>
        <w:rPr>
          <w:rFonts w:ascii="Calibri" w:eastAsia="Times New Roman" w:hAnsi="Calibri" w:cs="Calibri"/>
          <w:sz w:val="22"/>
          <w:szCs w:val="22"/>
        </w:rPr>
      </w:pPr>
      <w:r>
        <w:rPr>
          <w:rStyle w:val="tocitempublisher"/>
          <w:rFonts w:eastAsia="Times New Roman"/>
          <w:sz w:val="22"/>
          <w:szCs w:val="22"/>
        </w:rPr>
        <w:t>British Orthopaedic Association,</w:t>
      </w:r>
      <w:r>
        <w:rPr>
          <w:rFonts w:ascii="Calibri" w:eastAsia="Times New Roman" w:hAnsi="Calibri" w:cs="Calibri"/>
          <w:sz w:val="22"/>
          <w:szCs w:val="22"/>
        </w:rPr>
        <w:t xml:space="preserve"> </w:t>
      </w:r>
      <w:hyperlink w:anchor="Research2781791" w:history="1">
        <w:r>
          <w:rPr>
            <w:rStyle w:val="tocitem"/>
            <w:rFonts w:eastAsia="Times New Roman"/>
            <w:color w:val="000000"/>
            <w:sz w:val="22"/>
            <w:szCs w:val="22"/>
          </w:rPr>
          <w:t>Integrating artificia</w:t>
        </w:r>
        <w:r>
          <w:rPr>
            <w:rStyle w:val="tocitem"/>
            <w:rFonts w:eastAsia="Times New Roman"/>
            <w:color w:val="000000"/>
            <w:sz w:val="22"/>
            <w:szCs w:val="22"/>
          </w:rPr>
          <w:t>l intelligence into trauma and orthopaedics: History, current state of AI in T&amp;O and future perspectives</w:t>
        </w:r>
      </w:hyperlink>
    </w:p>
    <w:p w:rsidR="00000000" w:rsidRDefault="00587DCC">
      <w:pPr>
        <w:numPr>
          <w:ilvl w:val="0"/>
          <w:numId w:val="3"/>
        </w:numPr>
        <w:ind w:left="150"/>
        <w:divId w:val="1358434264"/>
        <w:rPr>
          <w:rFonts w:ascii="Calibri" w:eastAsia="Times New Roman" w:hAnsi="Calibri" w:cs="Calibri"/>
          <w:sz w:val="22"/>
          <w:szCs w:val="22"/>
        </w:rPr>
      </w:pPr>
      <w:r>
        <w:rPr>
          <w:rStyle w:val="tocitempublisher"/>
          <w:rFonts w:eastAsia="Times New Roman"/>
          <w:sz w:val="22"/>
          <w:szCs w:val="22"/>
        </w:rPr>
        <w:t>BioScientifica,</w:t>
      </w:r>
      <w:r>
        <w:rPr>
          <w:rFonts w:ascii="Calibri" w:eastAsia="Times New Roman" w:hAnsi="Calibri" w:cs="Calibri"/>
          <w:sz w:val="22"/>
          <w:szCs w:val="22"/>
        </w:rPr>
        <w:t xml:space="preserve"> </w:t>
      </w:r>
      <w:hyperlink w:anchor="Research2781157" w:history="1">
        <w:r>
          <w:rPr>
            <w:rStyle w:val="tocitem"/>
            <w:rFonts w:eastAsia="Times New Roman"/>
            <w:color w:val="000000"/>
            <w:sz w:val="22"/>
            <w:szCs w:val="22"/>
          </w:rPr>
          <w:t>Biological aspects to enhance fracture healing</w:t>
        </w:r>
      </w:hyperlink>
    </w:p>
    <w:p w:rsidR="00000000" w:rsidRDefault="00587DCC">
      <w:pPr>
        <w:numPr>
          <w:ilvl w:val="0"/>
          <w:numId w:val="3"/>
        </w:numPr>
        <w:ind w:left="150"/>
        <w:divId w:val="1358434264"/>
        <w:rPr>
          <w:rFonts w:ascii="Calibri" w:eastAsia="Times New Roman" w:hAnsi="Calibri" w:cs="Calibri"/>
          <w:sz w:val="22"/>
          <w:szCs w:val="22"/>
        </w:rPr>
      </w:pPr>
      <w:r>
        <w:rPr>
          <w:rStyle w:val="tocitempublisher"/>
          <w:rFonts w:eastAsia="Times New Roman"/>
          <w:sz w:val="22"/>
          <w:szCs w:val="22"/>
        </w:rPr>
        <w:t>International orthopaedics,</w:t>
      </w:r>
      <w:r>
        <w:rPr>
          <w:rFonts w:ascii="Calibri" w:eastAsia="Times New Roman" w:hAnsi="Calibri" w:cs="Calibri"/>
          <w:sz w:val="22"/>
          <w:szCs w:val="22"/>
        </w:rPr>
        <w:t xml:space="preserve"> </w:t>
      </w:r>
      <w:hyperlink w:anchor="Research2781159" w:history="1">
        <w:r>
          <w:rPr>
            <w:rStyle w:val="tocitem"/>
            <w:rFonts w:eastAsia="Times New Roman"/>
            <w:color w:val="000000"/>
            <w:sz w:val="22"/>
            <w:szCs w:val="22"/>
          </w:rPr>
          <w:t>Leeds-Genoa Non-Union Index: a clinical tool for asessing the need for early intervention after long bone fracture fixation</w:t>
        </w:r>
      </w:hyperlink>
    </w:p>
    <w:p w:rsidR="00000000" w:rsidRDefault="00587DCC">
      <w:pPr>
        <w:numPr>
          <w:ilvl w:val="0"/>
          <w:numId w:val="3"/>
        </w:numPr>
        <w:ind w:left="150"/>
        <w:divId w:val="1358434264"/>
        <w:rPr>
          <w:rFonts w:ascii="Calibri" w:eastAsia="Times New Roman" w:hAnsi="Calibri" w:cs="Calibri"/>
          <w:sz w:val="22"/>
          <w:szCs w:val="22"/>
        </w:rPr>
      </w:pPr>
      <w:r>
        <w:rPr>
          <w:rStyle w:val="tocitempublisher"/>
          <w:rFonts w:eastAsia="Times New Roman"/>
          <w:sz w:val="22"/>
          <w:szCs w:val="22"/>
        </w:rPr>
        <w:t>Archives of orthopaedic and trauma surgery,</w:t>
      </w:r>
      <w:r>
        <w:rPr>
          <w:rFonts w:ascii="Calibri" w:eastAsia="Times New Roman" w:hAnsi="Calibri" w:cs="Calibri"/>
          <w:sz w:val="22"/>
          <w:szCs w:val="22"/>
        </w:rPr>
        <w:t xml:space="preserve"> </w:t>
      </w:r>
      <w:hyperlink w:anchor="Research2781636" w:history="1">
        <w:r>
          <w:rPr>
            <w:rStyle w:val="tocitem"/>
            <w:rFonts w:eastAsia="Times New Roman"/>
            <w:color w:val="000000"/>
            <w:sz w:val="22"/>
            <w:szCs w:val="22"/>
          </w:rPr>
          <w:t>Risk factors for nonunion after intramedullary nailing of subtrochanteric femoral fractures</w:t>
        </w:r>
      </w:hyperlink>
    </w:p>
    <w:p w:rsidR="00000000" w:rsidRDefault="00587DCC">
      <w:pPr>
        <w:numPr>
          <w:ilvl w:val="0"/>
          <w:numId w:val="3"/>
        </w:numPr>
        <w:ind w:left="150"/>
        <w:divId w:val="1358434264"/>
        <w:rPr>
          <w:rFonts w:ascii="Calibri" w:eastAsia="Times New Roman" w:hAnsi="Calibri" w:cs="Calibri"/>
          <w:sz w:val="22"/>
          <w:szCs w:val="22"/>
        </w:rPr>
      </w:pPr>
      <w:r>
        <w:rPr>
          <w:rStyle w:val="tocitempublisher"/>
          <w:rFonts w:eastAsia="Times New Roman"/>
          <w:sz w:val="22"/>
          <w:szCs w:val="22"/>
        </w:rPr>
        <w:t>International Orthopaedics,</w:t>
      </w:r>
      <w:r>
        <w:rPr>
          <w:rFonts w:ascii="Calibri" w:eastAsia="Times New Roman" w:hAnsi="Calibri" w:cs="Calibri"/>
          <w:sz w:val="22"/>
          <w:szCs w:val="22"/>
        </w:rPr>
        <w:t xml:space="preserve"> </w:t>
      </w:r>
      <w:hyperlink w:anchor="Research2781158" w:history="1">
        <w:r>
          <w:rPr>
            <w:rStyle w:val="tocitem"/>
            <w:rFonts w:eastAsia="Times New Roman"/>
            <w:color w:val="000000"/>
            <w:sz w:val="22"/>
            <w:szCs w:val="22"/>
          </w:rPr>
          <w:t>Single-stage treatment of infected tibial non-unions and osteomyelitis with bone marrow granulocyt</w:t>
        </w:r>
        <w:r>
          <w:rPr>
            <w:rStyle w:val="tocitem"/>
            <w:rFonts w:eastAsia="Times New Roman"/>
            <w:color w:val="000000"/>
            <w:sz w:val="22"/>
            <w:szCs w:val="22"/>
          </w:rPr>
          <w:t>es precursors protecting bone graft</w:t>
        </w:r>
      </w:hyperlink>
    </w:p>
    <w:p w:rsidR="00000000" w:rsidRDefault="00587DCC">
      <w:pPr>
        <w:pStyle w:val="tocsectionheading1"/>
        <w:divId w:val="1358434264"/>
      </w:pPr>
      <w:hyperlink w:anchor="SearchStrategy" w:history="1">
        <w:r>
          <w:rPr>
            <w:rStyle w:val="toc"/>
            <w:color w:val="000000"/>
          </w:rPr>
          <w:t>D. Search strategy</w:t>
        </w:r>
      </w:hyperlink>
    </w:p>
    <w:p w:rsidR="00000000" w:rsidRDefault="00587DCC">
      <w:pPr>
        <w:pStyle w:val="tocsectionheading1"/>
        <w:divId w:val="1358434264"/>
      </w:pPr>
      <w:hyperlink w:anchor="Disclaimer" w:history="1">
        <w:r>
          <w:rPr>
            <w:rStyle w:val="toc"/>
            <w:color w:val="000000"/>
          </w:rPr>
          <w:t>E. Disclaimer</w:t>
        </w:r>
      </w:hyperlink>
    </w:p>
    <w:p w:rsidR="00000000" w:rsidRDefault="00587DCC">
      <w:pPr>
        <w:spacing w:after="240"/>
        <w:rPr>
          <w:rFonts w:eastAsia="Times New Roman"/>
        </w:rPr>
      </w:pPr>
    </w:p>
    <w:p w:rsidR="00000000" w:rsidRDefault="00587DCC">
      <w:pPr>
        <w:pStyle w:val="Heading2"/>
        <w:shd w:val="clear" w:color="auto" w:fill="DDDDDD"/>
        <w:spacing w:after="200"/>
        <w:divId w:val="1831141781"/>
        <w:rPr>
          <w:rFonts w:eastAsia="Times New Roman"/>
        </w:rPr>
      </w:pPr>
      <w:bookmarkStart w:id="1" w:name="SearchTermsAndNotes"/>
      <w:bookmarkEnd w:id="1"/>
      <w:r>
        <w:rPr>
          <w:rFonts w:eastAsia="Times New Roman"/>
        </w:rPr>
        <w:lastRenderedPageBreak/>
        <w:t>A. Search terms and notes</w:t>
      </w:r>
    </w:p>
    <w:p w:rsidR="00000000" w:rsidRDefault="00587DCC">
      <w:pPr>
        <w:pStyle w:val="NormalWeb"/>
        <w:divId w:val="1831141781"/>
      </w:pPr>
      <w:r>
        <w:rPr>
          <w:rStyle w:val="Strong"/>
        </w:rPr>
        <w:t>Sources searched (number of results in brackets):</w:t>
      </w:r>
      <w:r>
        <w:br/>
        <w:t>British Orthopaedic Associatation (2)</w:t>
      </w:r>
      <w:r>
        <w:br/>
      </w:r>
      <w:r>
        <w:t>Google (5)</w:t>
      </w:r>
      <w:r>
        <w:br/>
        <w:t>Healthcare Improvement Scotland (1)</w:t>
      </w:r>
      <w:r>
        <w:br/>
        <w:t>National Institute for Health and Care Excellence (NICE) (1)</w:t>
      </w:r>
      <w:r>
        <w:br/>
        <w:t>Trip (1)</w:t>
      </w:r>
      <w:r>
        <w:br/>
        <w:t>TRIP Database (1)</w:t>
      </w:r>
    </w:p>
    <w:p w:rsidR="00000000" w:rsidRDefault="00587DCC">
      <w:pPr>
        <w:divId w:val="1831141781"/>
        <w:rPr>
          <w:rFonts w:eastAsia="Times New Roman"/>
        </w:rPr>
      </w:pPr>
    </w:p>
    <w:p w:rsidR="00000000" w:rsidRDefault="00587DCC">
      <w:pPr>
        <w:pStyle w:val="NormalWeb"/>
        <w:divId w:val="1831141781"/>
      </w:pPr>
      <w:r>
        <w:t>Please acknowledge this work in any resulting paper or presentation as:</w:t>
      </w:r>
      <w:r>
        <w:br/>
        <w:t>Evidence search: Orthopaedics trauma symposium</w:t>
      </w:r>
      <w:r>
        <w:t xml:space="preserve"> 2025 reference list. Lucy Wells. 7th February, 2025. REDHILL, UK: Surrey and Sussex Library and Knowledge Services. </w:t>
      </w:r>
    </w:p>
    <w:p w:rsidR="00000000" w:rsidRDefault="00587DCC">
      <w:pPr>
        <w:rPr>
          <w:rFonts w:eastAsia="Times New Roman"/>
        </w:rPr>
      </w:pPr>
    </w:p>
    <w:p w:rsidR="00000000" w:rsidRDefault="00587DCC">
      <w:pPr>
        <w:pStyle w:val="Heading2"/>
        <w:shd w:val="clear" w:color="auto" w:fill="DDDDDD"/>
        <w:spacing w:after="200"/>
        <w:divId w:val="702246915"/>
        <w:rPr>
          <w:rFonts w:eastAsia="Times New Roman"/>
        </w:rPr>
      </w:pPr>
      <w:bookmarkStart w:id="2" w:name="HowToAccessFullText"/>
      <w:bookmarkEnd w:id="2"/>
      <w:r>
        <w:rPr>
          <w:rFonts w:eastAsia="Times New Roman"/>
        </w:rPr>
        <w:t>B. How to access full content</w:t>
      </w:r>
    </w:p>
    <w:p w:rsidR="00000000" w:rsidRDefault="00587DCC">
      <w:pPr>
        <w:pStyle w:val="NormalWeb"/>
        <w:divId w:val="702246915"/>
      </w:pPr>
      <w:r>
        <w:t xml:space="preserve">Links are given to full text resources where available. For some of the papers, you will need an </w:t>
      </w:r>
      <w:r>
        <w:rPr>
          <w:rStyle w:val="Strong"/>
        </w:rPr>
        <w:t>NHS OpenA</w:t>
      </w:r>
      <w:r>
        <w:rPr>
          <w:rStyle w:val="Strong"/>
        </w:rPr>
        <w:t>thens Account</w:t>
      </w:r>
      <w:r>
        <w:t xml:space="preserve">. If you do not have an account you can </w:t>
      </w:r>
      <w:hyperlink r:id="rId8" w:history="1">
        <w:r>
          <w:rPr>
            <w:rStyle w:val="Hyperlink"/>
          </w:rPr>
          <w:t>register online</w:t>
        </w:r>
      </w:hyperlink>
      <w:r>
        <w:t>.</w:t>
      </w:r>
    </w:p>
    <w:p w:rsidR="00000000" w:rsidRDefault="00587DCC">
      <w:pPr>
        <w:pStyle w:val="NormalWeb"/>
        <w:divId w:val="702246915"/>
      </w:pPr>
      <w:r>
        <w:t>You can then access the papers by simply entering your username and password. If you do not have easy access to the internet to gain acces</w:t>
      </w:r>
      <w:r>
        <w:t>s, please let us know and we can download the papers for you.</w:t>
      </w:r>
    </w:p>
    <w:p w:rsidR="00000000" w:rsidRDefault="00587DCC">
      <w:pPr>
        <w:rPr>
          <w:rFonts w:eastAsia="Times New Roman"/>
        </w:rPr>
      </w:pPr>
    </w:p>
    <w:p w:rsidR="00000000" w:rsidRDefault="00587DCC">
      <w:pPr>
        <w:pStyle w:val="Heading2"/>
        <w:shd w:val="clear" w:color="auto" w:fill="DDDDDD"/>
        <w:spacing w:after="200"/>
        <w:divId w:val="2096824490"/>
        <w:rPr>
          <w:rFonts w:eastAsia="Times New Roman"/>
        </w:rPr>
      </w:pPr>
      <w:bookmarkStart w:id="3" w:name="SearchResults"/>
      <w:bookmarkEnd w:id="3"/>
      <w:r>
        <w:rPr>
          <w:rFonts w:eastAsia="Times New Roman"/>
        </w:rPr>
        <w:t>C. Search results</w:t>
      </w:r>
    </w:p>
    <w:p w:rsidR="00000000" w:rsidRDefault="00587DCC">
      <w:pPr>
        <w:pStyle w:val="Heading2"/>
        <w:divId w:val="2096824490"/>
        <w:rPr>
          <w:rFonts w:eastAsia="Times New Roman"/>
        </w:rPr>
      </w:pPr>
      <w:bookmarkStart w:id="4" w:name="Section170733"/>
      <w:bookmarkEnd w:id="4"/>
      <w:r>
        <w:rPr>
          <w:rFonts w:eastAsia="Times New Roman"/>
        </w:rPr>
        <w:t xml:space="preserve">i. National and International Guidance </w:t>
      </w:r>
    </w:p>
    <w:p w:rsidR="00000000" w:rsidRDefault="00587DCC">
      <w:pPr>
        <w:numPr>
          <w:ilvl w:val="0"/>
          <w:numId w:val="4"/>
        </w:numPr>
        <w:divId w:val="2096824490"/>
        <w:rPr>
          <w:rFonts w:ascii="Calibri" w:eastAsia="Times New Roman" w:hAnsi="Calibri" w:cs="Calibri"/>
          <w:sz w:val="22"/>
          <w:szCs w:val="22"/>
        </w:rPr>
      </w:pPr>
      <w:bookmarkStart w:id="5" w:name="Research2781661"/>
      <w:bookmarkEnd w:id="5"/>
      <w:r>
        <w:rPr>
          <w:rStyle w:val="Strong"/>
          <w:rFonts w:ascii="Calibri" w:eastAsia="Times New Roman" w:hAnsi="Calibri" w:cs="Calibri"/>
          <w:sz w:val="22"/>
          <w:szCs w:val="22"/>
        </w:rPr>
        <w:t>Fractures (complex): assessment and management</w:t>
      </w:r>
      <w:r>
        <w:rPr>
          <w:rFonts w:ascii="Calibri" w:eastAsia="Times New Roman" w:hAnsi="Calibri" w:cs="Calibri"/>
          <w:sz w:val="22"/>
          <w:szCs w:val="22"/>
        </w:rPr>
        <w:br/>
        <w:t>National Institute for Health and Care Excellence (NICE), 2022</w:t>
      </w:r>
    </w:p>
    <w:p w:rsidR="00000000" w:rsidRDefault="00587DCC">
      <w:pPr>
        <w:pStyle w:val="NormalWeb"/>
        <w:ind w:left="720"/>
        <w:divId w:val="2096824490"/>
      </w:pPr>
      <w:r>
        <w:t>This guideline covers a</w:t>
      </w:r>
      <w:r>
        <w:t>ssessing and managing pelvic fractures, open fractures and severe ankle fractures (known as pilon fractures and intra-articular distal tibia fractures) in pre-hospital settings (including ambulance services), emergency departments and major trauma centres.</w:t>
      </w:r>
      <w:r>
        <w:t xml:space="preserve"> It aims to reduce deaths and long-term health problems by improving the quality of emergency and urgent care.</w:t>
      </w:r>
    </w:p>
    <w:p w:rsidR="00000000" w:rsidRDefault="00587DCC">
      <w:pPr>
        <w:pStyle w:val="content"/>
        <w:ind w:left="720"/>
        <w:divId w:val="2096824490"/>
      </w:pPr>
      <w:hyperlink r:id="rId9" w:history="1">
        <w:r>
          <w:rPr>
            <w:rStyle w:val="Hyperlink"/>
          </w:rPr>
          <w:t xml:space="preserve">Available online at this </w:t>
        </w:r>
        <w:r>
          <w:rPr>
            <w:rStyle w:val="Hyperlink"/>
          </w:rPr>
          <w:t xml:space="preserve">link </w:t>
        </w:r>
      </w:hyperlink>
    </w:p>
    <w:p w:rsidR="00000000" w:rsidRDefault="00587DCC">
      <w:pPr>
        <w:numPr>
          <w:ilvl w:val="0"/>
          <w:numId w:val="4"/>
        </w:numPr>
        <w:divId w:val="2096824490"/>
        <w:rPr>
          <w:rFonts w:ascii="Calibri" w:eastAsia="Times New Roman" w:hAnsi="Calibri" w:cs="Calibri"/>
          <w:sz w:val="22"/>
          <w:szCs w:val="22"/>
        </w:rPr>
      </w:pPr>
      <w:bookmarkStart w:id="6" w:name="Research2781708"/>
      <w:bookmarkEnd w:id="6"/>
      <w:r>
        <w:rPr>
          <w:rStyle w:val="Strong"/>
          <w:rFonts w:ascii="Calibri" w:eastAsia="Times New Roman" w:hAnsi="Calibri" w:cs="Calibri"/>
          <w:sz w:val="22"/>
          <w:szCs w:val="22"/>
        </w:rPr>
        <w:t>Management of osteoporosis and the prevention of fragility fractures</w:t>
      </w:r>
      <w:r>
        <w:rPr>
          <w:rFonts w:ascii="Calibri" w:eastAsia="Times New Roman" w:hAnsi="Calibri" w:cs="Calibri"/>
          <w:sz w:val="22"/>
          <w:szCs w:val="22"/>
        </w:rPr>
        <w:br/>
        <w:t>Healthcare Improvement Scotland, 2021</w:t>
      </w:r>
    </w:p>
    <w:p w:rsidR="00000000" w:rsidRDefault="00587DCC">
      <w:pPr>
        <w:pStyle w:val="content"/>
        <w:ind w:left="720"/>
        <w:divId w:val="2096824490"/>
      </w:pPr>
      <w:hyperlink r:id="rId10" w:history="1">
        <w:r>
          <w:rPr>
            <w:rStyle w:val="Hyperlink"/>
          </w:rPr>
          <w:t>Available online at thi</w:t>
        </w:r>
        <w:r>
          <w:rPr>
            <w:rStyle w:val="Hyperlink"/>
          </w:rPr>
          <w:t xml:space="preserve">s link </w:t>
        </w:r>
      </w:hyperlink>
    </w:p>
    <w:p w:rsidR="00000000" w:rsidRDefault="00587DCC">
      <w:pPr>
        <w:numPr>
          <w:ilvl w:val="0"/>
          <w:numId w:val="4"/>
        </w:numPr>
        <w:divId w:val="2096824490"/>
        <w:rPr>
          <w:rFonts w:ascii="Calibri" w:eastAsia="Times New Roman" w:hAnsi="Calibri" w:cs="Calibri"/>
          <w:sz w:val="22"/>
          <w:szCs w:val="22"/>
        </w:rPr>
      </w:pPr>
      <w:bookmarkStart w:id="7" w:name="Research2781667"/>
      <w:bookmarkEnd w:id="7"/>
      <w:r>
        <w:rPr>
          <w:rStyle w:val="Strong"/>
          <w:rFonts w:ascii="Calibri" w:eastAsia="Times New Roman" w:hAnsi="Calibri" w:cs="Calibri"/>
          <w:sz w:val="22"/>
          <w:szCs w:val="22"/>
        </w:rPr>
        <w:t>BOAST - Fracture Related Infections (FRI)</w:t>
      </w:r>
      <w:r>
        <w:rPr>
          <w:rFonts w:ascii="Calibri" w:eastAsia="Times New Roman" w:hAnsi="Calibri" w:cs="Calibri"/>
          <w:sz w:val="22"/>
          <w:szCs w:val="22"/>
        </w:rPr>
        <w:br/>
        <w:t>British Orthopaedic Associatation, 2019</w:t>
      </w:r>
    </w:p>
    <w:p w:rsidR="00000000" w:rsidRDefault="00587DCC">
      <w:pPr>
        <w:pStyle w:val="Heading5"/>
        <w:ind w:left="720"/>
        <w:divId w:val="2096824490"/>
        <w:rPr>
          <w:rFonts w:eastAsia="Times New Roman"/>
        </w:rPr>
      </w:pPr>
      <w:r>
        <w:rPr>
          <w:rFonts w:eastAsia="Times New Roman"/>
        </w:rPr>
        <w:t>Background and justification</w:t>
      </w:r>
    </w:p>
    <w:p w:rsidR="00000000" w:rsidRDefault="00587DCC">
      <w:pPr>
        <w:pStyle w:val="NormalWeb"/>
        <w:ind w:left="720"/>
        <w:divId w:val="2096824490"/>
      </w:pPr>
      <w:r>
        <w:t>Co-morbidities, associated local soft tissue injury, open wounds and the use of implants all increase the vulnerability to infection of patients with surgically managed fractures. The consequences of infection can be serious for the patient and expensive f</w:t>
      </w:r>
      <w:r>
        <w:t xml:space="preserve">or the service. Systems for the effective </w:t>
      </w:r>
      <w:r>
        <w:lastRenderedPageBreak/>
        <w:t>prevention, detection and management of infection should be a central component of an orthopaedic trauma service.</w:t>
      </w:r>
    </w:p>
    <w:p w:rsidR="00000000" w:rsidRDefault="00587DCC">
      <w:pPr>
        <w:pStyle w:val="Heading5"/>
        <w:ind w:left="720"/>
        <w:divId w:val="2096824490"/>
        <w:rPr>
          <w:rFonts w:eastAsia="Times New Roman"/>
        </w:rPr>
      </w:pPr>
      <w:r>
        <w:rPr>
          <w:rFonts w:eastAsia="Times New Roman"/>
        </w:rPr>
        <w:t>Inclusions</w:t>
      </w:r>
    </w:p>
    <w:p w:rsidR="00000000" w:rsidRDefault="00587DCC">
      <w:pPr>
        <w:pStyle w:val="NormalWeb"/>
        <w:ind w:left="720"/>
        <w:divId w:val="2096824490"/>
      </w:pPr>
      <w:r>
        <w:t>All patients with surgically managed fractures.</w:t>
      </w:r>
    </w:p>
    <w:p w:rsidR="00000000" w:rsidRDefault="00587DCC">
      <w:pPr>
        <w:pStyle w:val="content"/>
        <w:ind w:left="720"/>
        <w:divId w:val="2096824490"/>
      </w:pPr>
      <w:hyperlink r:id="rId11" w:history="1">
        <w:r>
          <w:rPr>
            <w:rStyle w:val="Hyperlink"/>
          </w:rPr>
          <w:t xml:space="preserve">Available online at this link </w:t>
        </w:r>
      </w:hyperlink>
    </w:p>
    <w:p w:rsidR="00000000" w:rsidRDefault="00587DCC">
      <w:pPr>
        <w:numPr>
          <w:ilvl w:val="0"/>
          <w:numId w:val="4"/>
        </w:numPr>
        <w:divId w:val="2096824490"/>
        <w:rPr>
          <w:rFonts w:ascii="Calibri" w:eastAsia="Times New Roman" w:hAnsi="Calibri" w:cs="Calibri"/>
          <w:sz w:val="22"/>
          <w:szCs w:val="22"/>
        </w:rPr>
      </w:pPr>
      <w:bookmarkStart w:id="8" w:name="Research2781662"/>
      <w:bookmarkEnd w:id="8"/>
      <w:r>
        <w:rPr>
          <w:rStyle w:val="Strong"/>
          <w:rFonts w:ascii="Calibri" w:eastAsia="Times New Roman" w:hAnsi="Calibri" w:cs="Calibri"/>
          <w:sz w:val="22"/>
          <w:szCs w:val="22"/>
        </w:rPr>
        <w:t>Fractures (non-complex): assessment and management</w:t>
      </w:r>
      <w:r>
        <w:rPr>
          <w:rFonts w:ascii="Calibri" w:eastAsia="Times New Roman" w:hAnsi="Calibri" w:cs="Calibri"/>
          <w:sz w:val="22"/>
          <w:szCs w:val="22"/>
        </w:rPr>
        <w:br/>
        <w:t>National Institute for Health and Care Excellence (NICE), 2016</w:t>
      </w:r>
    </w:p>
    <w:p w:rsidR="00000000" w:rsidRDefault="00587DCC">
      <w:pPr>
        <w:pStyle w:val="NormalWeb"/>
        <w:ind w:left="720"/>
        <w:divId w:val="2096824490"/>
      </w:pPr>
      <w:r>
        <w:t xml:space="preserve">This guideline covers assessing </w:t>
      </w:r>
      <w:r>
        <w:t>and managing non-complex fractures that can be treated in the emergency department or orthopaedic clinic. It aims to improve practice so that people with fractures receive the care that they need without unnecessary tests and treatments.</w:t>
      </w:r>
    </w:p>
    <w:p w:rsidR="00000000" w:rsidRDefault="00587DCC">
      <w:pPr>
        <w:pStyle w:val="content"/>
        <w:ind w:left="720"/>
        <w:divId w:val="2096824490"/>
      </w:pPr>
      <w:hyperlink r:id="rId12" w:history="1">
        <w:r>
          <w:rPr>
            <w:rStyle w:val="Hyperlink"/>
          </w:rPr>
          <w:t xml:space="preserve">Available online at this link </w:t>
        </w:r>
      </w:hyperlink>
    </w:p>
    <w:p w:rsidR="00000000" w:rsidRDefault="00587DCC">
      <w:pPr>
        <w:pStyle w:val="Heading2"/>
        <w:divId w:val="2096824490"/>
        <w:rPr>
          <w:rFonts w:eastAsia="Times New Roman"/>
        </w:rPr>
      </w:pPr>
      <w:bookmarkStart w:id="9" w:name="Section170735"/>
      <w:bookmarkEnd w:id="9"/>
      <w:r>
        <w:rPr>
          <w:rFonts w:eastAsia="Times New Roman"/>
        </w:rPr>
        <w:t xml:space="preserve">ii. Systematic Review </w:t>
      </w:r>
    </w:p>
    <w:p w:rsidR="00000000" w:rsidRDefault="00587DCC">
      <w:pPr>
        <w:numPr>
          <w:ilvl w:val="0"/>
          <w:numId w:val="5"/>
        </w:numPr>
        <w:divId w:val="2096824490"/>
        <w:rPr>
          <w:rFonts w:ascii="Calibri" w:eastAsia="Times New Roman" w:hAnsi="Calibri" w:cs="Calibri"/>
          <w:sz w:val="22"/>
          <w:szCs w:val="22"/>
        </w:rPr>
      </w:pPr>
      <w:bookmarkStart w:id="10" w:name="Research2781787"/>
      <w:bookmarkEnd w:id="10"/>
      <w:r>
        <w:rPr>
          <w:rStyle w:val="Strong"/>
          <w:rFonts w:ascii="Calibri" w:eastAsia="Times New Roman" w:hAnsi="Calibri" w:cs="Calibri"/>
          <w:sz w:val="22"/>
          <w:szCs w:val="22"/>
        </w:rPr>
        <w:t>A Systematic Review on Artificial Intelligence in Orthopedic Surgery</w:t>
      </w:r>
      <w:r>
        <w:rPr>
          <w:rFonts w:ascii="Calibri" w:eastAsia="Times New Roman" w:hAnsi="Calibri" w:cs="Calibri"/>
          <w:sz w:val="22"/>
          <w:szCs w:val="22"/>
        </w:rPr>
        <w:br/>
        <w:t>International Information and En</w:t>
      </w:r>
      <w:r>
        <w:rPr>
          <w:rFonts w:ascii="Calibri" w:eastAsia="Times New Roman" w:hAnsi="Calibri" w:cs="Calibri"/>
          <w:sz w:val="22"/>
          <w:szCs w:val="22"/>
        </w:rPr>
        <w:t>gineering Technology Association, 2024</w:t>
      </w:r>
    </w:p>
    <w:p w:rsidR="00000000" w:rsidRDefault="00587DCC">
      <w:pPr>
        <w:pStyle w:val="NormalWeb"/>
        <w:ind w:left="720"/>
        <w:divId w:val="2096824490"/>
      </w:pPr>
      <w:r>
        <w:t>This systematic review aims to assess the efficacy of Artificial Intelligence (AI) applications in orthopedic surgery, with a focus on diagnostic accuracy and outcome prediction. In this review, we expose the finding</w:t>
      </w:r>
      <w:r>
        <w:t xml:space="preserve">s of a systematic literature review awning the papers published from 2016 to October 2023 where authors worked on the application of an AI techniques and methods to an orthopedic purpose or problem. After application of inclusion and exclusion criteria on </w:t>
      </w:r>
      <w:r>
        <w:t>the extracted papers from PubMed and Google Scholar databases, 75 studies were included in this review. We examined, screened, and analyzed their content according to PRISMA guidelines. We also extracted data about the study design, the datasets included i</w:t>
      </w:r>
      <w:r>
        <w:t>n the experiment, the reported performance measures and the results obtained. In this report, we will share the results of our survey by outlining the key machine and Deep Learning (DL) techniques, such as Convolutional Neural Network (CNN), Autoencoders a</w:t>
      </w:r>
      <w:r>
        <w:t>nd Generative Adversarial Network, that were mentioned, the various application domains in orthopedics, the type of source data and its modality, as well as the overall quality of their predictive capabilities. We aim to describe the content of the article</w:t>
      </w:r>
      <w:r>
        <w:t>s in detail and provide insights into the most notable trends and patterns observed in the survey data.</w:t>
      </w:r>
    </w:p>
    <w:p w:rsidR="00000000" w:rsidRDefault="00587DCC">
      <w:pPr>
        <w:pStyle w:val="content"/>
        <w:ind w:left="720"/>
        <w:divId w:val="2096824490"/>
      </w:pPr>
      <w:hyperlink r:id="rId13" w:history="1">
        <w:r>
          <w:rPr>
            <w:rStyle w:val="Hyperlink"/>
          </w:rPr>
          <w:t xml:space="preserve">Available online at this link </w:t>
        </w:r>
      </w:hyperlink>
    </w:p>
    <w:p w:rsidR="00000000" w:rsidRDefault="00587DCC">
      <w:pPr>
        <w:numPr>
          <w:ilvl w:val="0"/>
          <w:numId w:val="5"/>
        </w:numPr>
        <w:divId w:val="2096824490"/>
        <w:rPr>
          <w:rFonts w:ascii="Calibri" w:eastAsia="Times New Roman" w:hAnsi="Calibri" w:cs="Calibri"/>
          <w:sz w:val="22"/>
          <w:szCs w:val="22"/>
        </w:rPr>
      </w:pPr>
      <w:bookmarkStart w:id="11" w:name="Research2781790"/>
      <w:bookmarkEnd w:id="11"/>
      <w:r>
        <w:rPr>
          <w:rStyle w:val="Strong"/>
          <w:rFonts w:ascii="Calibri" w:eastAsia="Times New Roman" w:hAnsi="Calibri" w:cs="Calibri"/>
          <w:sz w:val="22"/>
          <w:szCs w:val="22"/>
        </w:rPr>
        <w:t>Sy</w:t>
      </w:r>
      <w:r>
        <w:rPr>
          <w:rStyle w:val="Strong"/>
          <w:rFonts w:ascii="Calibri" w:eastAsia="Times New Roman" w:hAnsi="Calibri" w:cs="Calibri"/>
          <w:sz w:val="22"/>
          <w:szCs w:val="22"/>
        </w:rPr>
        <w:t>stematic review of machine-learning models in orthopaedic trauma</w:t>
      </w:r>
      <w:r>
        <w:rPr>
          <w:rFonts w:ascii="Calibri" w:eastAsia="Times New Roman" w:hAnsi="Calibri" w:cs="Calibri"/>
          <w:sz w:val="22"/>
          <w:szCs w:val="22"/>
        </w:rPr>
        <w:br/>
        <w:t>Bone &amp; joint open, 2024</w:t>
      </w:r>
    </w:p>
    <w:p w:rsidR="00000000" w:rsidRDefault="00587DCC">
      <w:pPr>
        <w:pStyle w:val="NormalWeb"/>
        <w:ind w:left="720"/>
        <w:divId w:val="2096824490"/>
      </w:pPr>
      <w:r>
        <w:rPr>
          <w:rStyle w:val="Strong"/>
        </w:rPr>
        <w:t>Aims: </w:t>
      </w:r>
      <w:r>
        <w:t>Machine-learning (ML) prediction models in orthopaedic trauma hold great promise in assisting clinicians in various tasks, such as personalized risk stratificat</w:t>
      </w:r>
      <w:r>
        <w:t xml:space="preserve">ion. However, an overview of current applications and critical appraisal to peer-reviewed guidelines is lacking. The objectives of this study are to 1) provide an overview of current ML prediction models in orthopaedic trauma; 2) evaluate the completeness </w:t>
      </w:r>
      <w:r>
        <w:t>of reporting following the Transparent Reporting of a multivariable prediction model for Individual Prognosis Or Diagnosis (TRIPOD) statement; and 3) assess the risk of bias following the Prediction model Risk Of Bias Assessment Tool (PROBAST) tool.</w:t>
      </w:r>
    </w:p>
    <w:p w:rsidR="00000000" w:rsidRDefault="00587DCC">
      <w:pPr>
        <w:pStyle w:val="NormalWeb"/>
        <w:ind w:left="720"/>
        <w:divId w:val="2096824490"/>
      </w:pPr>
      <w:r>
        <w:rPr>
          <w:rStyle w:val="Strong"/>
        </w:rPr>
        <w:t>Method</w:t>
      </w:r>
      <w:r>
        <w:rPr>
          <w:rStyle w:val="Strong"/>
        </w:rPr>
        <w:t>s: </w:t>
      </w:r>
      <w:r>
        <w:t>A systematic search screening 3,252 studies identified 45 ML-based prediction models in orthopaedic trauma up to January 2023. The TRIPOD statement assessed transparent reporting and the PROBAST tool the risk of bias.</w:t>
      </w:r>
    </w:p>
    <w:p w:rsidR="00000000" w:rsidRDefault="00587DCC">
      <w:pPr>
        <w:pStyle w:val="NormalWeb"/>
        <w:ind w:left="720"/>
        <w:divId w:val="2096824490"/>
      </w:pPr>
      <w:r>
        <w:rPr>
          <w:rStyle w:val="Strong"/>
        </w:rPr>
        <w:t>Results: </w:t>
      </w:r>
      <w:r>
        <w:t>A total of 40 studies repo</w:t>
      </w:r>
      <w:r>
        <w:t>rted on training and internal validation; four studies performed both development and external validation, and one study performed only external validation. The most commonly reported outcomes were mortality (33%, 15/45) and length of hospital stay (9%, 4/</w:t>
      </w:r>
      <w:r>
        <w:t xml:space="preserve">45), and the majority of prediction models were developed in the hip fracture population (60%, </w:t>
      </w:r>
      <w:r>
        <w:lastRenderedPageBreak/>
        <w:t>27/45). The overall median completeness for the TRIPOD statement was 62% (interquartile range 30 to 81%). The overall risk of bias in the PROBAST tool was low in</w:t>
      </w:r>
      <w:r>
        <w:t xml:space="preserve"> 24% (11/45), high in 69% (31/45), and unclear in 7% (3/45) of the studies. High risk of bias was mainly due to analysis domain concerns including small datasets with low number of outcomes, complete-case analysis in case of missing data, and no reporting </w:t>
      </w:r>
      <w:r>
        <w:t>of performance measures.</w:t>
      </w:r>
    </w:p>
    <w:p w:rsidR="00000000" w:rsidRDefault="00587DCC">
      <w:pPr>
        <w:pStyle w:val="NormalWeb"/>
        <w:ind w:left="720"/>
        <w:divId w:val="2096824490"/>
      </w:pPr>
      <w:r>
        <w:rPr>
          <w:rStyle w:val="Strong"/>
        </w:rPr>
        <w:t>Conclusion: </w:t>
      </w:r>
      <w:r>
        <w:t xml:space="preserve">The results of this study showed that despite a myriad of potential clinically useful applications, a substantial part of ML studies in orthopaedic trauma lack transparent reporting, and are at high risk of bias. These </w:t>
      </w:r>
      <w:r>
        <w:t>problems must be resolved by following established guidelines to instil confidence in ML models among patients and clinicians. Otherwise, there will remain a sizeable gap between the development of ML prediction models and their clinical application in our</w:t>
      </w:r>
      <w:r>
        <w:t xml:space="preserve"> day-to-day orthopaedic trauma practice.</w:t>
      </w:r>
    </w:p>
    <w:p w:rsidR="00000000" w:rsidRDefault="00587DCC">
      <w:pPr>
        <w:pStyle w:val="content"/>
        <w:ind w:left="720"/>
        <w:divId w:val="2096824490"/>
      </w:pPr>
      <w:hyperlink r:id="rId14" w:history="1">
        <w:r>
          <w:rPr>
            <w:rStyle w:val="Hyperlink"/>
          </w:rPr>
          <w:t xml:space="preserve">Available online at this link </w:t>
        </w:r>
      </w:hyperlink>
    </w:p>
    <w:p w:rsidR="00000000" w:rsidRDefault="00587DCC">
      <w:pPr>
        <w:pStyle w:val="Heading2"/>
        <w:divId w:val="2096824490"/>
        <w:rPr>
          <w:rFonts w:eastAsia="Times New Roman"/>
        </w:rPr>
      </w:pPr>
      <w:bookmarkStart w:id="12" w:name="Section170737"/>
      <w:bookmarkEnd w:id="12"/>
      <w:r>
        <w:rPr>
          <w:rFonts w:eastAsia="Times New Roman"/>
        </w:rPr>
        <w:t xml:space="preserve">iii. Original Research </w:t>
      </w:r>
    </w:p>
    <w:p w:rsidR="00000000" w:rsidRDefault="00587DCC">
      <w:pPr>
        <w:numPr>
          <w:ilvl w:val="0"/>
          <w:numId w:val="6"/>
        </w:numPr>
        <w:divId w:val="2096824490"/>
        <w:rPr>
          <w:rFonts w:ascii="Calibri" w:eastAsia="Times New Roman" w:hAnsi="Calibri" w:cs="Calibri"/>
          <w:sz w:val="22"/>
          <w:szCs w:val="22"/>
        </w:rPr>
      </w:pPr>
      <w:bookmarkStart w:id="13" w:name="Research2781791"/>
      <w:bookmarkEnd w:id="13"/>
      <w:r>
        <w:rPr>
          <w:rStyle w:val="Strong"/>
          <w:rFonts w:ascii="Calibri" w:eastAsia="Times New Roman" w:hAnsi="Calibri" w:cs="Calibri"/>
          <w:sz w:val="22"/>
          <w:szCs w:val="22"/>
        </w:rPr>
        <w:t xml:space="preserve">Integrating artificial intelligence into </w:t>
      </w:r>
      <w:r>
        <w:rPr>
          <w:rStyle w:val="Strong"/>
          <w:rFonts w:ascii="Calibri" w:eastAsia="Times New Roman" w:hAnsi="Calibri" w:cs="Calibri"/>
          <w:sz w:val="22"/>
          <w:szCs w:val="22"/>
        </w:rPr>
        <w:t>trauma and orthopaedics: History, current state of AI in T&amp;O and future perspectives</w:t>
      </w:r>
      <w:r>
        <w:rPr>
          <w:rFonts w:ascii="Calibri" w:eastAsia="Times New Roman" w:hAnsi="Calibri" w:cs="Calibri"/>
          <w:sz w:val="22"/>
          <w:szCs w:val="22"/>
        </w:rPr>
        <w:br/>
        <w:t>British Orthopaedic Association, 2024</w:t>
      </w:r>
    </w:p>
    <w:p w:rsidR="00000000" w:rsidRDefault="00587DCC">
      <w:pPr>
        <w:pStyle w:val="NormalWeb"/>
        <w:ind w:left="720"/>
        <w:divId w:val="2096824490"/>
      </w:pPr>
      <w:r>
        <w:t>Artificial Intelligence (AI) aims to develop systems capable of executing tasks traditionally associated with human intelligence. Si</w:t>
      </w:r>
      <w:r>
        <w:t>nce its inception in the mid-20th century, AI has undergone significant evolution, transitioning from basic algorithms to complex artificial neural networks. The Dartmouth Conference of 1956 is widely recognised as a seminal event that marked the beginning</w:t>
      </w:r>
      <w:r>
        <w:t xml:space="preserve"> of organised research efforts in AI1. Recent advancements in AI have been accelerated by innovations in cloud computing, which provide scalable computational resources, and improvements in processor technology, enhancing the speed and efficiency of comple</w:t>
      </w:r>
      <w:r>
        <w:t>x algorithms and real-time analysis2,3.</w:t>
      </w:r>
    </w:p>
    <w:p w:rsidR="00000000" w:rsidRDefault="00587DCC">
      <w:pPr>
        <w:pStyle w:val="content"/>
        <w:ind w:left="720"/>
        <w:divId w:val="2096824490"/>
      </w:pPr>
      <w:hyperlink r:id="rId15" w:history="1">
        <w:r>
          <w:rPr>
            <w:rStyle w:val="Hyperlink"/>
          </w:rPr>
          <w:t xml:space="preserve">Available online at this link </w:t>
        </w:r>
      </w:hyperlink>
    </w:p>
    <w:p w:rsidR="00000000" w:rsidRDefault="00587DCC">
      <w:pPr>
        <w:numPr>
          <w:ilvl w:val="0"/>
          <w:numId w:val="6"/>
        </w:numPr>
        <w:divId w:val="2096824490"/>
        <w:rPr>
          <w:rFonts w:ascii="Calibri" w:eastAsia="Times New Roman" w:hAnsi="Calibri" w:cs="Calibri"/>
          <w:sz w:val="22"/>
          <w:szCs w:val="22"/>
        </w:rPr>
      </w:pPr>
      <w:bookmarkStart w:id="14" w:name="Research2781157"/>
      <w:bookmarkEnd w:id="14"/>
      <w:r>
        <w:rPr>
          <w:rStyle w:val="Strong"/>
          <w:rFonts w:ascii="Calibri" w:eastAsia="Times New Roman" w:hAnsi="Calibri" w:cs="Calibri"/>
          <w:sz w:val="22"/>
          <w:szCs w:val="22"/>
        </w:rPr>
        <w:t>Biological aspects to enhance fracture healing</w:t>
      </w:r>
      <w:r>
        <w:rPr>
          <w:rFonts w:ascii="Calibri" w:eastAsia="Times New Roman" w:hAnsi="Calibri" w:cs="Calibri"/>
          <w:sz w:val="22"/>
          <w:szCs w:val="22"/>
        </w:rPr>
        <w:br/>
      </w:r>
      <w:r>
        <w:rPr>
          <w:rFonts w:ascii="Calibri" w:eastAsia="Times New Roman" w:hAnsi="Calibri" w:cs="Calibri"/>
          <w:sz w:val="22"/>
          <w:szCs w:val="22"/>
        </w:rPr>
        <w:t>BioScientifica, 2023</w:t>
      </w:r>
    </w:p>
    <w:p w:rsidR="00000000" w:rsidRDefault="00587DCC">
      <w:pPr>
        <w:pStyle w:val="NormalWeb"/>
        <w:ind w:left="720"/>
        <w:divId w:val="2096824490"/>
      </w:pPr>
      <w:r>
        <w:t>The ability to enhance fracture healing is paramount in modern orthopaedic trauma, particularly in the management of challenging cases including peri-prosthetic fractures, non-union and acute bone loss.</w:t>
      </w:r>
    </w:p>
    <w:p w:rsidR="00000000" w:rsidRDefault="00587DCC">
      <w:pPr>
        <w:pStyle w:val="react-xocs-list-item"/>
        <w:numPr>
          <w:ilvl w:val="1"/>
          <w:numId w:val="6"/>
        </w:numPr>
        <w:ind w:left="720"/>
        <w:divId w:val="1392465544"/>
        <w:rPr>
          <w:rFonts w:eastAsia="Times New Roman"/>
        </w:rPr>
      </w:pPr>
      <w:r>
        <w:rPr>
          <w:rFonts w:eastAsia="Times New Roman"/>
        </w:rPr>
        <w:t>Materials utilised in enhancing</w:t>
      </w:r>
      <w:r>
        <w:rPr>
          <w:rFonts w:eastAsia="Times New Roman"/>
        </w:rPr>
        <w:t xml:space="preserve"> fracture healing should ideally be osteogenic, osteoinductive, osteoconductive, and facilitate vascular in-growth.</w:t>
      </w:r>
    </w:p>
    <w:p w:rsidR="00000000" w:rsidRDefault="00587DCC">
      <w:pPr>
        <w:pStyle w:val="react-xocs-list-item"/>
        <w:numPr>
          <w:ilvl w:val="1"/>
          <w:numId w:val="6"/>
        </w:numPr>
        <w:ind w:left="720"/>
        <w:divId w:val="1016692662"/>
        <w:rPr>
          <w:rFonts w:eastAsia="Times New Roman"/>
        </w:rPr>
      </w:pPr>
      <w:r>
        <w:rPr>
          <w:rFonts w:eastAsia="Times New Roman"/>
        </w:rPr>
        <w:t>Autologous bone graft remains the gold standard, providing all of these qualities. Limitations to this technique include low graft volume an</w:t>
      </w:r>
      <w:r>
        <w:rPr>
          <w:rFonts w:eastAsia="Times New Roman"/>
        </w:rPr>
        <w:t>d donor site morbidity, with alternative techniques including the use of allograft or xenograft.</w:t>
      </w:r>
    </w:p>
    <w:p w:rsidR="00000000" w:rsidRDefault="00587DCC">
      <w:pPr>
        <w:pStyle w:val="react-xocs-list-item"/>
        <w:numPr>
          <w:ilvl w:val="1"/>
          <w:numId w:val="6"/>
        </w:numPr>
        <w:ind w:left="720"/>
        <w:divId w:val="362286816"/>
        <w:rPr>
          <w:rFonts w:eastAsia="Times New Roman"/>
        </w:rPr>
      </w:pPr>
      <w:r>
        <w:rPr>
          <w:rFonts w:eastAsia="Times New Roman"/>
        </w:rPr>
        <w:t>Artificial scaffolds can provide an osteoconductive construct, however fail to provide an osteoinductive stimulus, and frequently have poor mechanical properti</w:t>
      </w:r>
      <w:r>
        <w:rPr>
          <w:rFonts w:eastAsia="Times New Roman"/>
        </w:rPr>
        <w:t>es.</w:t>
      </w:r>
    </w:p>
    <w:p w:rsidR="00000000" w:rsidRDefault="00587DCC">
      <w:pPr>
        <w:pStyle w:val="react-xocs-list-item"/>
        <w:numPr>
          <w:ilvl w:val="1"/>
          <w:numId w:val="6"/>
        </w:numPr>
        <w:ind w:left="720"/>
        <w:divId w:val="986125179"/>
        <w:rPr>
          <w:rFonts w:eastAsia="Times New Roman"/>
        </w:rPr>
      </w:pPr>
      <w:r>
        <w:rPr>
          <w:rFonts w:eastAsia="Times New Roman"/>
        </w:rPr>
        <w:t>Recombinant bone morphogenetic proteins can provide an osteoinductive stimulus; however, their licencing is limited and larger studies are required to clarify their role.</w:t>
      </w:r>
    </w:p>
    <w:p w:rsidR="00000000" w:rsidRDefault="00587DCC">
      <w:pPr>
        <w:pStyle w:val="react-xocs-list-item"/>
        <w:numPr>
          <w:ilvl w:val="1"/>
          <w:numId w:val="6"/>
        </w:numPr>
        <w:ind w:left="720"/>
        <w:divId w:val="1460612993"/>
        <w:rPr>
          <w:rFonts w:eastAsia="Times New Roman"/>
        </w:rPr>
      </w:pPr>
      <w:r>
        <w:rPr>
          <w:rFonts w:eastAsia="Times New Roman"/>
        </w:rPr>
        <w:t>For recalcitricant non-unions or high-risk cases, the use of composite graft comb</w:t>
      </w:r>
      <w:r>
        <w:rPr>
          <w:rFonts w:eastAsia="Times New Roman"/>
        </w:rPr>
        <w:t>ining the above techniques provides the highest chances of successfully achieving bony union.</w:t>
      </w:r>
    </w:p>
    <w:p w:rsidR="00000000" w:rsidRDefault="00587DCC">
      <w:pPr>
        <w:pStyle w:val="content"/>
        <w:ind w:left="720"/>
        <w:divId w:val="2096824490"/>
      </w:pPr>
      <w:hyperlink r:id="rId16" w:history="1">
        <w:r>
          <w:rPr>
            <w:rStyle w:val="Hyperlink"/>
          </w:rPr>
          <w:t xml:space="preserve">Available online at this link </w:t>
        </w:r>
      </w:hyperlink>
    </w:p>
    <w:p w:rsidR="00000000" w:rsidRDefault="00587DCC">
      <w:pPr>
        <w:numPr>
          <w:ilvl w:val="0"/>
          <w:numId w:val="6"/>
        </w:numPr>
        <w:divId w:val="2096824490"/>
        <w:rPr>
          <w:rFonts w:ascii="Calibri" w:eastAsia="Times New Roman" w:hAnsi="Calibri" w:cs="Calibri"/>
          <w:sz w:val="22"/>
          <w:szCs w:val="22"/>
        </w:rPr>
      </w:pPr>
      <w:bookmarkStart w:id="15" w:name="Research2781159"/>
      <w:bookmarkEnd w:id="15"/>
      <w:r>
        <w:rPr>
          <w:rStyle w:val="Strong"/>
          <w:rFonts w:ascii="Calibri" w:eastAsia="Times New Roman" w:hAnsi="Calibri" w:cs="Calibri"/>
          <w:sz w:val="22"/>
          <w:szCs w:val="22"/>
        </w:rPr>
        <w:t xml:space="preserve">Leeds-Genoa </w:t>
      </w:r>
      <w:r>
        <w:rPr>
          <w:rStyle w:val="Strong"/>
          <w:rFonts w:ascii="Calibri" w:eastAsia="Times New Roman" w:hAnsi="Calibri" w:cs="Calibri"/>
          <w:sz w:val="22"/>
          <w:szCs w:val="22"/>
        </w:rPr>
        <w:t>Non-Union Index: a clinical tool for asessing the need for early intervention after long bone fracture fixation</w:t>
      </w:r>
      <w:r>
        <w:rPr>
          <w:rFonts w:ascii="Calibri" w:eastAsia="Times New Roman" w:hAnsi="Calibri" w:cs="Calibri"/>
          <w:sz w:val="22"/>
          <w:szCs w:val="22"/>
        </w:rPr>
        <w:br/>
        <w:t>International orthopaedics, 2019</w:t>
      </w:r>
    </w:p>
    <w:p w:rsidR="00000000" w:rsidRDefault="00587DCC">
      <w:pPr>
        <w:pStyle w:val="Heading3"/>
        <w:ind w:left="720"/>
        <w:divId w:val="2096824490"/>
        <w:rPr>
          <w:rFonts w:eastAsia="Times New Roman"/>
        </w:rPr>
      </w:pPr>
      <w:r>
        <w:rPr>
          <w:rFonts w:eastAsia="Times New Roman"/>
        </w:rPr>
        <w:t>Aim of the study</w:t>
      </w:r>
    </w:p>
    <w:p w:rsidR="00000000" w:rsidRDefault="00587DCC">
      <w:pPr>
        <w:pStyle w:val="NormalWeb"/>
        <w:ind w:left="720"/>
        <w:divId w:val="2096824490"/>
      </w:pPr>
      <w:r>
        <w:lastRenderedPageBreak/>
        <w:t>The aim of this case-control study was to develop a clinical decision rule to support assessm</w:t>
      </w:r>
      <w:r>
        <w:t>ent of the risk of long-bone non-union and plan for appropriate early intervention.</w:t>
      </w:r>
    </w:p>
    <w:p w:rsidR="00000000" w:rsidRDefault="00587DCC">
      <w:pPr>
        <w:pStyle w:val="Heading3"/>
        <w:ind w:left="720"/>
        <w:divId w:val="2096824490"/>
        <w:rPr>
          <w:rFonts w:eastAsia="Times New Roman"/>
        </w:rPr>
      </w:pPr>
      <w:r>
        <w:rPr>
          <w:rFonts w:eastAsia="Times New Roman"/>
        </w:rPr>
        <w:t>Methods</w:t>
      </w:r>
    </w:p>
    <w:p w:rsidR="00000000" w:rsidRDefault="00587DCC">
      <w:pPr>
        <w:pStyle w:val="NormalWeb"/>
        <w:ind w:left="720"/>
        <w:divId w:val="2096824490"/>
      </w:pPr>
      <w:r>
        <w:t>Two hundred patients (100 cases and 100 controls) were recruited. Risk factors identified to contribute to the development of non-union were recorded and analysed w</w:t>
      </w:r>
      <w:r>
        <w:t>ith a multivariable logistic regression model. Tabulation of the outcome (non-union/union) against each risk factor in turn (univariable analysis) was carried out. Odds ratios and confidence intervals were derived using Wald's method. A receiver-operator c</w:t>
      </w:r>
      <w:r>
        <w:t>urve was calculated and the area under the curve was computed. Having established the eight most important risk factors, a non-union risk index was developed as the count of the risk factors present in each patient.</w:t>
      </w:r>
    </w:p>
    <w:p w:rsidR="00000000" w:rsidRDefault="00587DCC">
      <w:pPr>
        <w:pStyle w:val="Heading3"/>
        <w:ind w:left="720"/>
        <w:divId w:val="2096824490"/>
        <w:rPr>
          <w:rFonts w:eastAsia="Times New Roman"/>
        </w:rPr>
      </w:pPr>
      <w:r>
        <w:rPr>
          <w:rFonts w:eastAsia="Times New Roman"/>
        </w:rPr>
        <w:t>Results</w:t>
      </w:r>
    </w:p>
    <w:p w:rsidR="00000000" w:rsidRDefault="00587DCC">
      <w:pPr>
        <w:pStyle w:val="NormalWeb"/>
        <w:ind w:left="720"/>
        <w:divId w:val="2096824490"/>
      </w:pPr>
      <w:r>
        <w:t>The five risk factors for non-un</w:t>
      </w:r>
      <w:r>
        <w:t xml:space="preserve">ion with greater effect size were post-surgical fracture gap &gt; 4 mm (odds ratio (OR) = 11.97 95% CI (4.27, 33.53)), infection superficial/deep (OR 10.16 (2.44, 42.36)), not optimum mechanical stability (OR 10.06 (3.75, 26.97)), displacement &gt; 75% of shaft </w:t>
      </w:r>
      <w:r>
        <w:t>width (OR 6.81 (2.21, 20.95)), and site of fracture—tibia (OR 4.33 (1.32, 14.14)). The ROC curve for the non-union index was 0.924, sensitivity 91%, specificity 77%.</w:t>
      </w:r>
    </w:p>
    <w:p w:rsidR="00000000" w:rsidRDefault="00587DCC">
      <w:pPr>
        <w:pStyle w:val="Heading3"/>
        <w:ind w:left="720"/>
        <w:divId w:val="2096824490"/>
        <w:rPr>
          <w:rFonts w:eastAsia="Times New Roman"/>
        </w:rPr>
      </w:pPr>
      <w:r>
        <w:rPr>
          <w:rFonts w:eastAsia="Times New Roman"/>
        </w:rPr>
        <w:t>Conclusions</w:t>
      </w:r>
    </w:p>
    <w:p w:rsidR="00000000" w:rsidRDefault="00587DCC">
      <w:pPr>
        <w:pStyle w:val="NormalWeb"/>
        <w:ind w:left="720"/>
        <w:divId w:val="2096824490"/>
      </w:pPr>
      <w:r>
        <w:t xml:space="preserve">The non-union index derived from counting risk factors predicts union for 0-4 </w:t>
      </w:r>
      <w:r>
        <w:t>risk factors and non-union for 5-8 risk factors. It can be readily applied and can guide clinicians about the risk of development of long-bone non-union. It can become a powerful aid for assessing fracture fixation outcome and to support early intervention</w:t>
      </w:r>
      <w:r>
        <w:t>.</w:t>
      </w:r>
    </w:p>
    <w:p w:rsidR="00000000" w:rsidRDefault="00587DCC">
      <w:pPr>
        <w:pStyle w:val="content"/>
        <w:ind w:left="720"/>
        <w:divId w:val="2096824490"/>
      </w:pPr>
      <w:hyperlink r:id="rId17" w:history="1">
        <w:r>
          <w:rPr>
            <w:rStyle w:val="Hyperlink"/>
          </w:rPr>
          <w:t xml:space="preserve">Available online at this link </w:t>
        </w:r>
      </w:hyperlink>
    </w:p>
    <w:p w:rsidR="00000000" w:rsidRDefault="00587DCC">
      <w:pPr>
        <w:numPr>
          <w:ilvl w:val="0"/>
          <w:numId w:val="6"/>
        </w:numPr>
        <w:divId w:val="2096824490"/>
        <w:rPr>
          <w:rFonts w:ascii="Calibri" w:eastAsia="Times New Roman" w:hAnsi="Calibri" w:cs="Calibri"/>
          <w:sz w:val="22"/>
          <w:szCs w:val="22"/>
        </w:rPr>
      </w:pPr>
      <w:bookmarkStart w:id="16" w:name="Research2781636"/>
      <w:bookmarkEnd w:id="16"/>
      <w:r>
        <w:rPr>
          <w:rStyle w:val="Strong"/>
          <w:rFonts w:ascii="Calibri" w:eastAsia="Times New Roman" w:hAnsi="Calibri" w:cs="Calibri"/>
          <w:sz w:val="22"/>
          <w:szCs w:val="22"/>
        </w:rPr>
        <w:t>Risk factors for nonunion after intramedullary nailing of subtrochanteric femoral fractures</w:t>
      </w:r>
      <w:r>
        <w:rPr>
          <w:rFonts w:ascii="Calibri" w:eastAsia="Times New Roman" w:hAnsi="Calibri" w:cs="Calibri"/>
          <w:sz w:val="22"/>
          <w:szCs w:val="22"/>
        </w:rPr>
        <w:br/>
        <w:t xml:space="preserve">Archives of </w:t>
      </w:r>
      <w:r>
        <w:rPr>
          <w:rFonts w:ascii="Calibri" w:eastAsia="Times New Roman" w:hAnsi="Calibri" w:cs="Calibri"/>
          <w:sz w:val="22"/>
          <w:szCs w:val="22"/>
        </w:rPr>
        <w:t>orthopaedic and trauma surgery, 2019</w:t>
      </w:r>
    </w:p>
    <w:p w:rsidR="00000000" w:rsidRDefault="00587DCC">
      <w:pPr>
        <w:pStyle w:val="Heading3"/>
        <w:ind w:left="720"/>
        <w:divId w:val="2096824490"/>
        <w:rPr>
          <w:rFonts w:eastAsia="Times New Roman"/>
        </w:rPr>
      </w:pPr>
      <w:r>
        <w:rPr>
          <w:rFonts w:eastAsia="Times New Roman"/>
        </w:rPr>
        <w:t>Introduction</w:t>
      </w:r>
    </w:p>
    <w:p w:rsidR="00000000" w:rsidRDefault="00587DCC">
      <w:pPr>
        <w:pStyle w:val="NormalWeb"/>
        <w:ind w:left="720"/>
        <w:divId w:val="2096824490"/>
      </w:pPr>
      <w:r>
        <w:t>Nonunion is a common complication after intramedullary nailing of subtrochanteric femoral fractures. A more detailed knowledge, particularly of avoidable risk factors for subtrochanteric fracture nonunion,</w:t>
      </w:r>
      <w:r>
        <w:t xml:space="preserve"> is thus desired to develop strategies for reducing nonunion rates. The aim of the present study therefore was to analyse a wide range of parameters as potential risk factors for nonunion after intramedullary nailing of subtrochanteric fractures.</w:t>
      </w:r>
    </w:p>
    <w:p w:rsidR="00000000" w:rsidRDefault="00587DCC">
      <w:pPr>
        <w:pStyle w:val="Heading3"/>
        <w:ind w:left="720"/>
        <w:divId w:val="2096824490"/>
        <w:rPr>
          <w:rFonts w:eastAsia="Times New Roman"/>
        </w:rPr>
      </w:pPr>
      <w:r>
        <w:rPr>
          <w:rFonts w:eastAsia="Times New Roman"/>
        </w:rPr>
        <w:t>Materials</w:t>
      </w:r>
      <w:r>
        <w:rPr>
          <w:rFonts w:eastAsia="Times New Roman"/>
        </w:rPr>
        <w:t xml:space="preserve"> and methods</w:t>
      </w:r>
    </w:p>
    <w:p w:rsidR="00000000" w:rsidRDefault="00587DCC">
      <w:pPr>
        <w:pStyle w:val="NormalWeb"/>
        <w:ind w:left="720"/>
        <w:divId w:val="2096824490"/>
      </w:pPr>
      <w:r>
        <w:t>Seventy-four patients who sustained a subtrochanteric fracture and were treated by femoral intramedullary nailing at a single level 1 trauma centre within a 6-year period were included in this study. A total of 15 patient-related, fracture-rel</w:t>
      </w:r>
      <w:r>
        <w:t>ated, surgery-related, mechanical and biological parameters were analysed as potential risk factors for nonunion. Furthermore, the accuracy of each of these parameters to predict nonunion was calculated.</w:t>
      </w:r>
    </w:p>
    <w:p w:rsidR="00000000" w:rsidRDefault="00587DCC">
      <w:pPr>
        <w:pStyle w:val="Heading3"/>
        <w:ind w:left="720"/>
        <w:divId w:val="2096824490"/>
        <w:rPr>
          <w:rFonts w:eastAsia="Times New Roman"/>
        </w:rPr>
      </w:pPr>
      <w:r>
        <w:rPr>
          <w:rFonts w:eastAsia="Times New Roman"/>
        </w:rPr>
        <w:t>Results</w:t>
      </w:r>
    </w:p>
    <w:p w:rsidR="00000000" w:rsidRDefault="00587DCC">
      <w:pPr>
        <w:pStyle w:val="NormalWeb"/>
        <w:ind w:left="720"/>
        <w:divId w:val="2096824490"/>
      </w:pPr>
      <w:r>
        <w:t>Nonunion occurred in 17 of 74 patients (23.0</w:t>
      </w:r>
      <w:r>
        <w:t>%). Of the 15 potential risk factors analysed, only 3 were found to have a significant effect on the nonunion rate (</w:t>
      </w:r>
      <w:r>
        <w:rPr>
          <w:rStyle w:val="Emphasis"/>
        </w:rPr>
        <w:t>p</w:t>
      </w:r>
      <w:r>
        <w:t> </w:t>
      </w:r>
      <w:r>
        <w:t>&lt; </w:t>
      </w:r>
      <w:r>
        <w:t>0.05): postoperative varus malalignment, postoperative lack of medial cortical support and autodynamisation of the nail within the first 12 weeks post-surgery. Accuracy of each of these 3 parameters to predict nonunion was &gt; 0.70. Furthermore, the nonunion</w:t>
      </w:r>
      <w:r>
        <w:t xml:space="preserve"> rate significantly increased with the number of risk factors (no risk factor: 2.9%, one risk factor: 23.8%, two risk factors: 52.9%, and three risk factors: 100% [Chi-square test, </w:t>
      </w:r>
      <w:r>
        <w:rPr>
          <w:rStyle w:val="Emphasis"/>
        </w:rPr>
        <w:t>p</w:t>
      </w:r>
      <w:r>
        <w:t> </w:t>
      </w:r>
      <w:r>
        <w:t>= 0.001)].</w:t>
      </w:r>
    </w:p>
    <w:p w:rsidR="00000000" w:rsidRDefault="00587DCC">
      <w:pPr>
        <w:pStyle w:val="Heading3"/>
        <w:ind w:left="720"/>
        <w:divId w:val="2096824490"/>
        <w:rPr>
          <w:rFonts w:eastAsia="Times New Roman"/>
        </w:rPr>
      </w:pPr>
      <w:r>
        <w:rPr>
          <w:rFonts w:eastAsia="Times New Roman"/>
        </w:rPr>
        <w:lastRenderedPageBreak/>
        <w:t>Conclusions</w:t>
      </w:r>
    </w:p>
    <w:p w:rsidR="00000000" w:rsidRDefault="00587DCC">
      <w:pPr>
        <w:pStyle w:val="NormalWeb"/>
        <w:ind w:left="720"/>
        <w:divId w:val="2096824490"/>
      </w:pPr>
      <w:r>
        <w:t>Our study indicates that intraoperative correction of varus malalignment and restoration of the medial cortical support are the most critical factors to prevent nonunion after intramedullary nailing of subtrochanteric femoral fractures. In addition, autody</w:t>
      </w:r>
      <w:r>
        <w:t>namisation of the nail within the first 3 months post-surgery is a strong predictor for failure and should result in revision surgery.</w:t>
      </w:r>
    </w:p>
    <w:p w:rsidR="00000000" w:rsidRDefault="00587DCC">
      <w:pPr>
        <w:pStyle w:val="content"/>
        <w:ind w:left="720"/>
        <w:divId w:val="2096824490"/>
      </w:pPr>
      <w:hyperlink r:id="rId18" w:history="1">
        <w:r>
          <w:rPr>
            <w:rStyle w:val="Hyperlink"/>
          </w:rPr>
          <w:t>Av</w:t>
        </w:r>
        <w:r>
          <w:rPr>
            <w:rStyle w:val="Hyperlink"/>
          </w:rPr>
          <w:t xml:space="preserve">ailable online at this link </w:t>
        </w:r>
      </w:hyperlink>
    </w:p>
    <w:p w:rsidR="00000000" w:rsidRDefault="00587DCC">
      <w:pPr>
        <w:numPr>
          <w:ilvl w:val="0"/>
          <w:numId w:val="6"/>
        </w:numPr>
        <w:divId w:val="2096824490"/>
        <w:rPr>
          <w:rFonts w:ascii="Calibri" w:eastAsia="Times New Roman" w:hAnsi="Calibri" w:cs="Calibri"/>
          <w:sz w:val="22"/>
          <w:szCs w:val="22"/>
        </w:rPr>
      </w:pPr>
      <w:bookmarkStart w:id="17" w:name="Research2781158"/>
      <w:bookmarkEnd w:id="17"/>
      <w:r>
        <w:rPr>
          <w:rStyle w:val="Strong"/>
          <w:rFonts w:ascii="Calibri" w:eastAsia="Times New Roman" w:hAnsi="Calibri" w:cs="Calibri"/>
          <w:sz w:val="22"/>
          <w:szCs w:val="22"/>
        </w:rPr>
        <w:t>Single-stage treatment of infected tibial non-unions and osteomyelitis with bone marrow granulocytes precursors protecting bone graft</w:t>
      </w:r>
      <w:r>
        <w:rPr>
          <w:rFonts w:ascii="Calibri" w:eastAsia="Times New Roman" w:hAnsi="Calibri" w:cs="Calibri"/>
          <w:sz w:val="22"/>
          <w:szCs w:val="22"/>
        </w:rPr>
        <w:br/>
        <w:t>International Orthopaedics, 2017</w:t>
      </w:r>
    </w:p>
    <w:p w:rsidR="00000000" w:rsidRDefault="00587DCC">
      <w:pPr>
        <w:pStyle w:val="Heading3"/>
        <w:ind w:left="720"/>
        <w:divId w:val="2096824490"/>
        <w:rPr>
          <w:rFonts w:eastAsia="Times New Roman"/>
        </w:rPr>
      </w:pPr>
      <w:r>
        <w:rPr>
          <w:rFonts w:eastAsia="Times New Roman"/>
        </w:rPr>
        <w:t>Purpose</w:t>
      </w:r>
    </w:p>
    <w:p w:rsidR="00000000" w:rsidRDefault="00587DCC">
      <w:pPr>
        <w:pStyle w:val="NormalWeb"/>
        <w:ind w:left="720"/>
        <w:divId w:val="2096824490"/>
      </w:pPr>
      <w:r>
        <w:t>Infected non-unions present a clinical challenge, e</w:t>
      </w:r>
      <w:r>
        <w:t>specially with risk of recurrent infection. Bone marrow contains granulocyte precursors identified in vitro as colony forming units-granulocyte macrophage (CFU-GM) have a prophylactic action against infection. We therefore tested the hypothesis that bone m</w:t>
      </w:r>
      <w:r>
        <w:t>arrow concentrated granulocytes precursors added to a standard bone graft could decrease the risk of recurrence of infection when single-stage treatment of infected tibial non-unions is performed with bone graft.</w:t>
      </w:r>
    </w:p>
    <w:p w:rsidR="00000000" w:rsidRDefault="00587DCC">
      <w:pPr>
        <w:pStyle w:val="Heading3"/>
        <w:ind w:left="720"/>
        <w:divId w:val="2096824490"/>
        <w:rPr>
          <w:rFonts w:eastAsia="Times New Roman"/>
        </w:rPr>
      </w:pPr>
      <w:r>
        <w:rPr>
          <w:rFonts w:eastAsia="Times New Roman"/>
        </w:rPr>
        <w:t>Methods</w:t>
      </w:r>
    </w:p>
    <w:p w:rsidR="00000000" w:rsidRDefault="00587DCC">
      <w:pPr>
        <w:pStyle w:val="NormalWeb"/>
        <w:ind w:left="720"/>
        <w:divId w:val="2096824490"/>
      </w:pPr>
      <w:r>
        <w:t xml:space="preserve">During a single-stage procedure 40 </w:t>
      </w:r>
      <w:r>
        <w:t>patients with infected tibial non-union received a spongious bone graft supercharged with granulocytes precursors after debridement (study group). A control group (40 patients) was treated in a single stage with local debridement and standard bone graft ob</w:t>
      </w:r>
      <w:r>
        <w:t>tained from the iliac crest. The antibiotic therapy protocol was the same (60 days) in the two groups. CFU-GM progenitors were harvested from bone marrow aspirated on the opposite iliac crest of the site where the cancellous bone was obtained. Union (radio</w:t>
      </w:r>
      <w:r>
        <w:t>graphs and CT scan), a recurrence of clinical infection, and need for subsequent surgery were evaluated.</w:t>
      </w:r>
    </w:p>
    <w:p w:rsidR="00000000" w:rsidRDefault="00587DCC">
      <w:pPr>
        <w:pStyle w:val="Heading3"/>
        <w:ind w:left="720"/>
        <w:divId w:val="2096824490"/>
        <w:rPr>
          <w:rFonts w:eastAsia="Times New Roman"/>
        </w:rPr>
      </w:pPr>
      <w:r>
        <w:rPr>
          <w:rFonts w:eastAsia="Times New Roman"/>
        </w:rPr>
        <w:t>Results</w:t>
      </w:r>
    </w:p>
    <w:p w:rsidR="00000000" w:rsidRDefault="00587DCC">
      <w:pPr>
        <w:pStyle w:val="NormalWeb"/>
        <w:ind w:left="720"/>
        <w:divId w:val="2096824490"/>
      </w:pPr>
      <w:r>
        <w:t>Thirty-eight (95%) patients who received graft supercharged with granulocytes precursors achieved successful union without recurrence of infect</w:t>
      </w:r>
      <w:r>
        <w:t>ion during the seven-year follow-up versus 28 (70%) control patients; for the control group the mean graft resorption volume was 40%, while no bone graft resorption was found for the study group.</w:t>
      </w:r>
    </w:p>
    <w:p w:rsidR="00000000" w:rsidRDefault="00587DCC">
      <w:pPr>
        <w:pStyle w:val="Heading3"/>
        <w:ind w:left="720"/>
        <w:divId w:val="2096824490"/>
        <w:rPr>
          <w:rFonts w:eastAsia="Times New Roman"/>
        </w:rPr>
      </w:pPr>
      <w:r>
        <w:rPr>
          <w:rFonts w:eastAsia="Times New Roman"/>
        </w:rPr>
        <w:t>Conclusion</w:t>
      </w:r>
    </w:p>
    <w:p w:rsidR="00000000" w:rsidRDefault="00587DCC">
      <w:pPr>
        <w:pStyle w:val="NormalWeb"/>
        <w:ind w:left="720"/>
        <w:divId w:val="2096824490"/>
      </w:pPr>
      <w:r>
        <w:t>Supercharging the cancellous bone graft with bone</w:t>
      </w:r>
      <w:r>
        <w:t xml:space="preserve"> marrow granulocytes precursors protect the site of infected non-union from recurrence of infection and bone resorption of the graft.</w:t>
      </w:r>
    </w:p>
    <w:p w:rsidR="00000000" w:rsidRDefault="00587DCC">
      <w:pPr>
        <w:pStyle w:val="content"/>
        <w:ind w:left="720"/>
        <w:divId w:val="2096824490"/>
      </w:pPr>
      <w:hyperlink r:id="rId19" w:history="1">
        <w:r>
          <w:rPr>
            <w:rStyle w:val="Hyperlink"/>
          </w:rPr>
          <w:t>Ava</w:t>
        </w:r>
        <w:r>
          <w:rPr>
            <w:rStyle w:val="Hyperlink"/>
          </w:rPr>
          <w:t xml:space="preserve">ilable online at this link </w:t>
        </w:r>
      </w:hyperlink>
    </w:p>
    <w:p w:rsidR="00000000" w:rsidRDefault="00587DCC">
      <w:pPr>
        <w:rPr>
          <w:rFonts w:eastAsia="Times New Roman"/>
        </w:rPr>
      </w:pPr>
    </w:p>
    <w:p w:rsidR="00000000" w:rsidRDefault="00587DCC">
      <w:pPr>
        <w:pStyle w:val="Heading2"/>
        <w:shd w:val="clear" w:color="auto" w:fill="DDDDDD"/>
        <w:spacing w:after="200"/>
        <w:divId w:val="2049912408"/>
        <w:rPr>
          <w:rFonts w:eastAsia="Times New Roman"/>
        </w:rPr>
      </w:pPr>
      <w:bookmarkStart w:id="18" w:name="SearchStrategy"/>
      <w:bookmarkEnd w:id="18"/>
      <w:r>
        <w:rPr>
          <w:rFonts w:eastAsia="Times New Roman"/>
        </w:rPr>
        <w:t>D. Search strategy</w:t>
      </w:r>
    </w:p>
    <w:p w:rsidR="00000000" w:rsidRDefault="00587DCC">
      <w:pPr>
        <w:rPr>
          <w:rFonts w:eastAsia="Times New Roman"/>
        </w:rPr>
      </w:pPr>
    </w:p>
    <w:p w:rsidR="00000000" w:rsidRDefault="00587DCC">
      <w:pPr>
        <w:pStyle w:val="Heading2"/>
        <w:shd w:val="clear" w:color="auto" w:fill="DDDDDD"/>
        <w:spacing w:after="200"/>
        <w:divId w:val="2040735116"/>
        <w:rPr>
          <w:rFonts w:eastAsia="Times New Roman"/>
        </w:rPr>
      </w:pPr>
      <w:bookmarkStart w:id="19" w:name="Disclaimer"/>
      <w:bookmarkEnd w:id="19"/>
      <w:r>
        <w:rPr>
          <w:rFonts w:eastAsia="Times New Roman"/>
        </w:rPr>
        <w:t>E. Disclaimer</w:t>
      </w:r>
    </w:p>
    <w:p w:rsidR="00000000" w:rsidRDefault="00587DCC">
      <w:pPr>
        <w:pStyle w:val="NormalWeb"/>
        <w:divId w:val="2040735116"/>
      </w:pPr>
      <w:r>
        <w:t>We hope that you find the evidence search service useful. Whilst care has been taken in the selection of the materials included in this evidence search, the Library and Knowledge Service is n</w:t>
      </w:r>
      <w:r>
        <w:t xml:space="preserve">ot responsible for the content or the accuracy of the enclosed research information. Accordingly, whilst every endeavour has been undertaken to execute a comprehensive search of the literature, the Library and Knowledge Service is </w:t>
      </w:r>
      <w:r>
        <w:lastRenderedPageBreak/>
        <w:t xml:space="preserve">not and will not be held </w:t>
      </w:r>
      <w:r>
        <w:t>responsible or liable for any omissions to pertinent research information not included as part of the results of the enclosed evidence search. Users are welcome to discuss the evidence search findings with the librarian responsible for executing the search</w:t>
      </w:r>
      <w:r>
        <w:t>. We welcome suggestions on additional search strategies / use of other information resources for further exploration. You must not use the results of this search for commercial purposes. Any usage or reproduction of the search output should acknowledge th</w:t>
      </w:r>
      <w:r>
        <w:t>e Library and Knowledge Service that produced it.</w:t>
      </w:r>
    </w:p>
    <w:p w:rsidR="00000000" w:rsidRDefault="00587DCC">
      <w:pPr>
        <w:pStyle w:val="NormalWeb"/>
        <w:divId w:val="2040735116"/>
      </w:pPr>
      <w:r>
        <w:t>Please acknowledge this work in any resulting paper or presentation as:</w:t>
      </w:r>
      <w:r>
        <w:br/>
        <w:t>Evidence search: Orthopaedics trauma symposium 2025 reference list. Lucy Wells. 7th February, 2025. REDHILL, UK: Surrey and Sussex Lib</w:t>
      </w:r>
      <w:r>
        <w:t xml:space="preserve">rary and Knowledge Services. </w:t>
      </w:r>
    </w:p>
    <w:sectPr w:rsidR="00000000">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AA6"/>
    <w:multiLevelType w:val="multilevel"/>
    <w:tmpl w:val="F68C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F1B12"/>
    <w:multiLevelType w:val="multilevel"/>
    <w:tmpl w:val="80083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D3387"/>
    <w:multiLevelType w:val="multilevel"/>
    <w:tmpl w:val="056A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A6CAC"/>
    <w:multiLevelType w:val="multilevel"/>
    <w:tmpl w:val="93C4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E215A"/>
    <w:multiLevelType w:val="multilevel"/>
    <w:tmpl w:val="6412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DF4BF1"/>
    <w:multiLevelType w:val="multilevel"/>
    <w:tmpl w:val="455A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87DCC"/>
    <w:rsid w:val="0058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28EAECD-C5A4-44A1-9ED7-A2F63604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after="100"/>
      <w:outlineLvl w:val="0"/>
    </w:pPr>
    <w:rPr>
      <w:rFonts w:ascii="Calibri" w:hAnsi="Calibri" w:cs="Calibri"/>
      <w:b/>
      <w:bCs/>
      <w:color w:val="000000"/>
      <w:kern w:val="36"/>
      <w:sz w:val="32"/>
      <w:szCs w:val="32"/>
    </w:rPr>
  </w:style>
  <w:style w:type="paragraph" w:styleId="Heading2">
    <w:name w:val="heading 2"/>
    <w:basedOn w:val="Normal"/>
    <w:link w:val="Heading2Char"/>
    <w:uiPriority w:val="9"/>
    <w:qFormat/>
    <w:pPr>
      <w:spacing w:before="100" w:after="100"/>
      <w:outlineLvl w:val="1"/>
    </w:pPr>
    <w:rPr>
      <w:rFonts w:ascii="Calibri" w:hAnsi="Calibri" w:cs="Calibri"/>
      <w:b/>
      <w:bCs/>
      <w:color w:val="000000"/>
      <w:sz w:val="28"/>
      <w:szCs w:val="28"/>
    </w:rPr>
  </w:style>
  <w:style w:type="paragraph" w:styleId="Heading3">
    <w:name w:val="heading 3"/>
    <w:basedOn w:val="Normal"/>
    <w:link w:val="Heading3Char"/>
    <w:uiPriority w:val="9"/>
    <w:qFormat/>
    <w:pPr>
      <w:spacing w:before="100" w:after="100"/>
      <w:outlineLvl w:val="2"/>
    </w:pPr>
    <w:rPr>
      <w:rFonts w:ascii="Calibri" w:hAnsi="Calibri" w:cs="Calibri"/>
      <w:b/>
      <w:bCs/>
      <w:color w:val="000000"/>
    </w:rPr>
  </w:style>
  <w:style w:type="paragraph" w:styleId="Heading4">
    <w:name w:val="heading 4"/>
    <w:basedOn w:val="Normal"/>
    <w:link w:val="Heading4Char"/>
    <w:uiPriority w:val="9"/>
    <w:qFormat/>
    <w:pPr>
      <w:outlineLvl w:val="3"/>
    </w:pPr>
    <w:rPr>
      <w:rFonts w:ascii="Calibri" w:hAnsi="Calibri" w:cs="Calibri"/>
      <w:b/>
      <w:bCs/>
      <w:color w:val="000000"/>
    </w:rPr>
  </w:style>
  <w:style w:type="paragraph" w:styleId="Heading5">
    <w:name w:val="heading 5"/>
    <w:basedOn w:val="Normal"/>
    <w:link w:val="Heading5Char"/>
    <w:uiPriority w:val="9"/>
    <w:qFormat/>
    <w:pPr>
      <w:spacing w:before="100" w:beforeAutospacing="1" w:after="100" w:afterAutospacing="1"/>
      <w:outlineLvl w:val="4"/>
    </w:pPr>
    <w:rPr>
      <w:rFonts w:ascii="Calibri" w:hAnsi="Calibri" w:cs="Calibri"/>
      <w:b/>
      <w:bCs/>
      <w:sz w:val="20"/>
      <w:szCs w:val="20"/>
    </w:rPr>
  </w:style>
  <w:style w:type="paragraph" w:styleId="Heading6">
    <w:name w:val="heading 6"/>
    <w:basedOn w:val="Normal"/>
    <w:link w:val="Heading6Char"/>
    <w:uiPriority w:val="9"/>
    <w:qFormat/>
    <w:pPr>
      <w:spacing w:before="100" w:beforeAutospacing="1" w:after="100" w:afterAutospacing="1"/>
      <w:outlineLvl w:val="5"/>
    </w:pPr>
    <w:rPr>
      <w:rFonts w:ascii="Calibri" w:hAnsi="Calibri" w:cs="Calibri"/>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200" w:after="200"/>
    </w:pPr>
    <w:rPr>
      <w:rFonts w:ascii="Calibri" w:hAnsi="Calibri" w:cs="Calibri"/>
      <w:sz w:val="22"/>
      <w:szCs w:val="22"/>
    </w:rPr>
  </w:style>
  <w:style w:type="character" w:styleId="Hyperlink">
    <w:name w:val="Hyperlink"/>
    <w:basedOn w:val="DefaultParagraphFont"/>
    <w:uiPriority w:val="99"/>
    <w:semiHidden/>
    <w:unhideWhenUsed/>
    <w:rPr>
      <w:rFonts w:ascii="Calibri" w:hAnsi="Calibri" w:cs="Calibri" w:hint="default"/>
      <w:color w:val="0000FF"/>
      <w:u w:val="single"/>
    </w:rPr>
  </w:style>
  <w:style w:type="character" w:styleId="FollowedHyperlink">
    <w:name w:val="FollowedHyperlink"/>
    <w:basedOn w:val="DefaultParagraphFont"/>
    <w:uiPriority w:val="99"/>
    <w:semiHidden/>
    <w:unhideWhenUsed/>
    <w:rPr>
      <w:rFonts w:ascii="Calibri" w:hAnsi="Calibri" w:cs="Calibri" w:hint="default"/>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200" w:after="200"/>
    </w:pPr>
    <w:rPr>
      <w:rFonts w:ascii="Calibri" w:hAnsi="Calibri" w:cs="Calibri"/>
      <w:sz w:val="22"/>
      <w:szCs w:val="22"/>
    </w:rPr>
  </w:style>
  <w:style w:type="paragraph" w:customStyle="1" w:styleId="tocsectionheading">
    <w:name w:val="tocsectionheading"/>
    <w:basedOn w:val="Normal"/>
    <w:pPr>
      <w:spacing w:before="200" w:after="200"/>
    </w:pPr>
    <w:rPr>
      <w:rFonts w:ascii="Calibri" w:hAnsi="Calibri" w:cs="Calibri"/>
      <w:sz w:val="22"/>
      <w:szCs w:val="22"/>
    </w:rPr>
  </w:style>
  <w:style w:type="paragraph" w:customStyle="1" w:styleId="tocitemgroup">
    <w:name w:val="tocitemgroup"/>
    <w:basedOn w:val="Normal"/>
    <w:pPr>
      <w:spacing w:before="200" w:after="200"/>
    </w:pPr>
    <w:rPr>
      <w:rFonts w:ascii="Calibri" w:hAnsi="Calibri" w:cs="Calibri"/>
      <w:sz w:val="22"/>
      <w:szCs w:val="22"/>
    </w:rPr>
  </w:style>
  <w:style w:type="paragraph" w:customStyle="1" w:styleId="images-container">
    <w:name w:val="images-container"/>
    <w:basedOn w:val="Normal"/>
    <w:rPr>
      <w:rFonts w:ascii="Calibri" w:hAnsi="Calibri" w:cs="Calibri"/>
      <w:sz w:val="22"/>
      <w:szCs w:val="22"/>
    </w:rPr>
  </w:style>
  <w:style w:type="paragraph" w:customStyle="1" w:styleId="boxed-container">
    <w:name w:val="boxed-container"/>
    <w:basedOn w:val="Normal"/>
    <w:pPr>
      <w:pBdr>
        <w:top w:val="single" w:sz="6" w:space="10" w:color="8F8F8F"/>
        <w:left w:val="single" w:sz="6" w:space="10" w:color="8F8F8F"/>
        <w:bottom w:val="single" w:sz="6" w:space="10" w:color="8F8F8F"/>
        <w:right w:val="single" w:sz="6" w:space="10" w:color="8F8F8F"/>
      </w:pBdr>
    </w:pPr>
    <w:rPr>
      <w:rFonts w:ascii="Calibri" w:hAnsi="Calibri" w:cs="Calibri"/>
      <w:sz w:val="22"/>
      <w:szCs w:val="22"/>
    </w:rPr>
  </w:style>
  <w:style w:type="paragraph" w:customStyle="1" w:styleId="boxed-container-empty">
    <w:name w:val="boxed-container-empty"/>
    <w:basedOn w:val="Normal"/>
    <w:rPr>
      <w:rFonts w:ascii="Calibri" w:hAnsi="Calibri" w:cs="Calibri"/>
      <w:sz w:val="22"/>
      <w:szCs w:val="22"/>
    </w:rPr>
  </w:style>
  <w:style w:type="paragraph" w:customStyle="1" w:styleId="toclist">
    <w:name w:val="toclist"/>
    <w:basedOn w:val="Normal"/>
    <w:pPr>
      <w:ind w:left="150"/>
    </w:pPr>
    <w:rPr>
      <w:rFonts w:ascii="Calibri" w:hAnsi="Calibri" w:cs="Calibri"/>
      <w:sz w:val="22"/>
      <w:szCs w:val="22"/>
    </w:rPr>
  </w:style>
  <w:style w:type="paragraph" w:customStyle="1" w:styleId="tocsectionheading1">
    <w:name w:val="tocsectionheading1"/>
    <w:basedOn w:val="Normal"/>
    <w:pPr>
      <w:spacing w:before="200" w:after="100"/>
    </w:pPr>
    <w:rPr>
      <w:rFonts w:ascii="Calibri" w:hAnsi="Calibri" w:cs="Calibri"/>
      <w:b/>
      <w:bCs/>
    </w:rPr>
  </w:style>
  <w:style w:type="paragraph" w:customStyle="1" w:styleId="tocitemgroup1">
    <w:name w:val="tocitemgroup1"/>
    <w:basedOn w:val="Normal"/>
    <w:pPr>
      <w:spacing w:before="200" w:after="100"/>
      <w:ind w:left="225"/>
    </w:pPr>
    <w:rPr>
      <w:rFonts w:ascii="Calibri" w:hAnsi="Calibri" w:cs="Calibri"/>
      <w:b/>
      <w:bCs/>
    </w:rPr>
  </w:style>
  <w:style w:type="character" w:customStyle="1" w:styleId="toc">
    <w:name w:val="toc"/>
    <w:basedOn w:val="DefaultParagraphFont"/>
    <w:rPr>
      <w:rFonts w:ascii="Calibri" w:hAnsi="Calibri" w:cs="Calibri" w:hint="default"/>
    </w:rPr>
  </w:style>
  <w:style w:type="character" w:customStyle="1" w:styleId="tocitempublisher">
    <w:name w:val="tocitempublisher"/>
    <w:basedOn w:val="DefaultParagraphFont"/>
    <w:rPr>
      <w:rFonts w:ascii="Calibri" w:hAnsi="Calibri" w:cs="Calibri" w:hint="default"/>
    </w:rPr>
  </w:style>
  <w:style w:type="character" w:customStyle="1" w:styleId="tocitem">
    <w:name w:val="tocitem"/>
    <w:basedOn w:val="DefaultParagraphFont"/>
    <w:rPr>
      <w:rFonts w:ascii="Calibri" w:hAnsi="Calibri" w:cs="Calibri" w:hint="default"/>
    </w:rPr>
  </w:style>
  <w:style w:type="character" w:styleId="Strong">
    <w:name w:val="Strong"/>
    <w:basedOn w:val="DefaultParagraphFont"/>
    <w:uiPriority w:val="22"/>
    <w:qFormat/>
    <w:rPr>
      <w:b/>
      <w:bCs/>
    </w:rPr>
  </w:style>
  <w:style w:type="paragraph" w:customStyle="1" w:styleId="content">
    <w:name w:val="content"/>
    <w:basedOn w:val="Normal"/>
    <w:pPr>
      <w:spacing w:before="200" w:after="200"/>
    </w:pPr>
    <w:rPr>
      <w:rFonts w:ascii="Calibri" w:hAnsi="Calibri" w:cs="Calibri"/>
      <w:sz w:val="22"/>
      <w:szCs w:val="22"/>
    </w:rPr>
  </w:style>
  <w:style w:type="paragraph" w:customStyle="1" w:styleId="react-xocs-list-item">
    <w:name w:val="react-xocs-list-item"/>
    <w:basedOn w:val="Normal"/>
    <w:rPr>
      <w:rFonts w:ascii="Calibri" w:hAnsi="Calibri" w:cs="Calibri"/>
      <w:sz w:val="22"/>
      <w:szCs w:val="2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46915">
      <w:marLeft w:val="0"/>
      <w:marRight w:val="0"/>
      <w:marTop w:val="0"/>
      <w:marBottom w:val="0"/>
      <w:divBdr>
        <w:top w:val="single" w:sz="6" w:space="10" w:color="8F8F8F"/>
        <w:left w:val="single" w:sz="6" w:space="10" w:color="8F8F8F"/>
        <w:bottom w:val="single" w:sz="6" w:space="10" w:color="8F8F8F"/>
        <w:right w:val="single" w:sz="6" w:space="10" w:color="8F8F8F"/>
      </w:divBdr>
    </w:div>
    <w:div w:id="1358434264">
      <w:marLeft w:val="0"/>
      <w:marRight w:val="0"/>
      <w:marTop w:val="0"/>
      <w:marBottom w:val="0"/>
      <w:divBdr>
        <w:top w:val="none" w:sz="0" w:space="0" w:color="auto"/>
        <w:left w:val="none" w:sz="0" w:space="0" w:color="auto"/>
        <w:bottom w:val="none" w:sz="0" w:space="0" w:color="auto"/>
        <w:right w:val="none" w:sz="0" w:space="0" w:color="auto"/>
      </w:divBdr>
    </w:div>
    <w:div w:id="1680349064">
      <w:marLeft w:val="0"/>
      <w:marRight w:val="0"/>
      <w:marTop w:val="0"/>
      <w:marBottom w:val="400"/>
      <w:divBdr>
        <w:top w:val="none" w:sz="0" w:space="0" w:color="auto"/>
        <w:left w:val="none" w:sz="0" w:space="0" w:color="auto"/>
        <w:bottom w:val="none" w:sz="0" w:space="0" w:color="auto"/>
        <w:right w:val="none" w:sz="0" w:space="0" w:color="auto"/>
      </w:divBdr>
    </w:div>
    <w:div w:id="1831141781">
      <w:marLeft w:val="0"/>
      <w:marRight w:val="0"/>
      <w:marTop w:val="0"/>
      <w:marBottom w:val="0"/>
      <w:divBdr>
        <w:top w:val="single" w:sz="6" w:space="10" w:color="8F8F8F"/>
        <w:left w:val="single" w:sz="6" w:space="10" w:color="8F8F8F"/>
        <w:bottom w:val="single" w:sz="6" w:space="10" w:color="8F8F8F"/>
        <w:right w:val="single" w:sz="6" w:space="10" w:color="8F8F8F"/>
      </w:divBdr>
    </w:div>
    <w:div w:id="2040735116">
      <w:marLeft w:val="0"/>
      <w:marRight w:val="0"/>
      <w:marTop w:val="0"/>
      <w:marBottom w:val="0"/>
      <w:divBdr>
        <w:top w:val="single" w:sz="6" w:space="10" w:color="8F8F8F"/>
        <w:left w:val="single" w:sz="6" w:space="10" w:color="8F8F8F"/>
        <w:bottom w:val="single" w:sz="6" w:space="10" w:color="8F8F8F"/>
        <w:right w:val="single" w:sz="6" w:space="10" w:color="8F8F8F"/>
      </w:divBdr>
    </w:div>
    <w:div w:id="2049912408">
      <w:marLeft w:val="0"/>
      <w:marRight w:val="0"/>
      <w:marTop w:val="0"/>
      <w:marBottom w:val="0"/>
      <w:divBdr>
        <w:top w:val="single" w:sz="6" w:space="10" w:color="8F8F8F"/>
        <w:left w:val="single" w:sz="6" w:space="10" w:color="8F8F8F"/>
        <w:bottom w:val="single" w:sz="6" w:space="10" w:color="8F8F8F"/>
        <w:right w:val="single" w:sz="6" w:space="10" w:color="8F8F8F"/>
      </w:divBdr>
    </w:div>
    <w:div w:id="2096824490">
      <w:marLeft w:val="0"/>
      <w:marRight w:val="0"/>
      <w:marTop w:val="0"/>
      <w:marBottom w:val="0"/>
      <w:divBdr>
        <w:top w:val="none" w:sz="0" w:space="0" w:color="auto"/>
        <w:left w:val="none" w:sz="0" w:space="0" w:color="auto"/>
        <w:bottom w:val="none" w:sz="0" w:space="0" w:color="auto"/>
        <w:right w:val="none" w:sz="0" w:space="0" w:color="auto"/>
      </w:divBdr>
      <w:divsChild>
        <w:div w:id="1392465544">
          <w:marLeft w:val="0"/>
          <w:marRight w:val="0"/>
          <w:marTop w:val="0"/>
          <w:marBottom w:val="0"/>
          <w:divBdr>
            <w:top w:val="none" w:sz="0" w:space="0" w:color="auto"/>
            <w:left w:val="none" w:sz="0" w:space="0" w:color="auto"/>
            <w:bottom w:val="none" w:sz="0" w:space="0" w:color="auto"/>
            <w:right w:val="none" w:sz="0" w:space="0" w:color="auto"/>
          </w:divBdr>
        </w:div>
        <w:div w:id="1016692662">
          <w:marLeft w:val="0"/>
          <w:marRight w:val="0"/>
          <w:marTop w:val="0"/>
          <w:marBottom w:val="0"/>
          <w:divBdr>
            <w:top w:val="none" w:sz="0" w:space="0" w:color="auto"/>
            <w:left w:val="none" w:sz="0" w:space="0" w:color="auto"/>
            <w:bottom w:val="none" w:sz="0" w:space="0" w:color="auto"/>
            <w:right w:val="none" w:sz="0" w:space="0" w:color="auto"/>
          </w:divBdr>
        </w:div>
        <w:div w:id="362286816">
          <w:marLeft w:val="0"/>
          <w:marRight w:val="0"/>
          <w:marTop w:val="0"/>
          <w:marBottom w:val="0"/>
          <w:divBdr>
            <w:top w:val="none" w:sz="0" w:space="0" w:color="auto"/>
            <w:left w:val="none" w:sz="0" w:space="0" w:color="auto"/>
            <w:bottom w:val="none" w:sz="0" w:space="0" w:color="auto"/>
            <w:right w:val="none" w:sz="0" w:space="0" w:color="auto"/>
          </w:divBdr>
        </w:div>
        <w:div w:id="986125179">
          <w:marLeft w:val="0"/>
          <w:marRight w:val="0"/>
          <w:marTop w:val="0"/>
          <w:marBottom w:val="0"/>
          <w:divBdr>
            <w:top w:val="none" w:sz="0" w:space="0" w:color="auto"/>
            <w:left w:val="none" w:sz="0" w:space="0" w:color="auto"/>
            <w:bottom w:val="none" w:sz="0" w:space="0" w:color="auto"/>
            <w:right w:val="none" w:sz="0" w:space="0" w:color="auto"/>
          </w:divBdr>
        </w:div>
        <w:div w:id="14606129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thens.nice.org.uk/" TargetMode="External"/><Relationship Id="rId13" Type="http://schemas.openxmlformats.org/officeDocument/2006/relationships/hyperlink" Target="https://www.knowledgeshare.nhs.uk/index.php?PageID=link_resolver&amp;link=d3a693c321627ea343c68e1e86907579" TargetMode="External"/><Relationship Id="rId18" Type="http://schemas.openxmlformats.org/officeDocument/2006/relationships/hyperlink" Target="https://www.knowledgeshare.nhs.uk/index.php?PageID=link_resolver&amp;link=beee987b4e80fc090aad2f9cf2aa6da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brary.esh@nhs.net" TargetMode="External"/><Relationship Id="rId12" Type="http://schemas.openxmlformats.org/officeDocument/2006/relationships/hyperlink" Target="https://www.knowledgeshare.nhs.uk/index.php?PageID=link_resolver&amp;link=abd278090053f21cf7503808c87ac47b" TargetMode="External"/><Relationship Id="rId17" Type="http://schemas.openxmlformats.org/officeDocument/2006/relationships/hyperlink" Target="https://www.knowledgeshare.nhs.uk/index.php?PageID=link_resolver&amp;link=ad61a72a8104f00eb43431095a44ef12" TargetMode="External"/><Relationship Id="rId2" Type="http://schemas.openxmlformats.org/officeDocument/2006/relationships/styles" Target="styles.xml"/><Relationship Id="rId16" Type="http://schemas.openxmlformats.org/officeDocument/2006/relationships/hyperlink" Target="https://www.knowledgeshare.nhs.uk/index.php?PageID=link_resolver&amp;link=b5fdc2364d56da318aa08d061c523d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www.knowledgeshare.nhs.uk/index.php?Request=image&amp;FileStore=uploads&amp;MaxWidth=250&amp;MaxHeight=120&amp;Path=%2Flogos%2Flks%2Flks_logo_2.png" TargetMode="External"/><Relationship Id="rId11" Type="http://schemas.openxmlformats.org/officeDocument/2006/relationships/hyperlink" Target="https://www.knowledgeshare.nhs.uk/index.php?PageID=link_resolver&amp;link=fc0fceb3a4c5b97ee611333923eba911" TargetMode="External"/><Relationship Id="rId5" Type="http://schemas.openxmlformats.org/officeDocument/2006/relationships/image" Target="https://www.knowledgeshare.nhs.uk/index.php?Request=image&amp;FileStore=uploads&amp;MaxWidth=250&amp;MaxHeight=120&amp;Path=%2Flogos%2Flks%2Fsponsor_logo_2.png" TargetMode="External"/><Relationship Id="rId15" Type="http://schemas.openxmlformats.org/officeDocument/2006/relationships/hyperlink" Target="https://www.knowledgeshare.nhs.uk/index.php?PageID=link_resolver&amp;link=6284d72d956a43ec45a59da6be801a1c" TargetMode="External"/><Relationship Id="rId10" Type="http://schemas.openxmlformats.org/officeDocument/2006/relationships/hyperlink" Target="https://www.knowledgeshare.nhs.uk/index.php?PageID=link_resolver&amp;link=e339d6a24c78ba7d174a43ae682257c8" TargetMode="External"/><Relationship Id="rId19" Type="http://schemas.openxmlformats.org/officeDocument/2006/relationships/hyperlink" Target="https://www.knowledgeshare.nhs.uk/index.php?PageID=link_resolver&amp;link=dad672ac535a2f38f6f65cb1d28c5716" TargetMode="External"/><Relationship Id="rId4" Type="http://schemas.openxmlformats.org/officeDocument/2006/relationships/webSettings" Target="webSettings.xml"/><Relationship Id="rId9" Type="http://schemas.openxmlformats.org/officeDocument/2006/relationships/hyperlink" Target="https://www.knowledgeshare.nhs.uk/index.php?PageID=link_resolver&amp;link=737c0d14303ecba33ac2733704ca5410" TargetMode="External"/><Relationship Id="rId14" Type="http://schemas.openxmlformats.org/officeDocument/2006/relationships/hyperlink" Target="https://www.knowledgeshare.nhs.uk/index.php?PageID=link_resolver&amp;link=2f087fa31ab0f373dd421a0fee430c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17384</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Lucy (SURREY AND SUSSEX HEALTHCARE NHS TRUST)</dc:creator>
  <cp:keywords/>
  <dc:description/>
  <cp:lastModifiedBy>WELLS, Lucy (SURREY AND SUSSEX HEALTHCARE NHS TRUST)</cp:lastModifiedBy>
  <cp:revision>2</cp:revision>
  <dcterms:created xsi:type="dcterms:W3CDTF">2025-02-07T11:45:00Z</dcterms:created>
  <dcterms:modified xsi:type="dcterms:W3CDTF">2025-02-07T11:45:00Z</dcterms:modified>
</cp:coreProperties>
</file>