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9AAB" w14:textId="77777777" w:rsidR="00520230" w:rsidRPr="00354B42" w:rsidRDefault="00520230" w:rsidP="00520230">
      <w:pPr>
        <w:pStyle w:val="NoSpacing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54B42">
        <w:rPr>
          <w:rFonts w:asciiTheme="minorHAnsi" w:hAnsiTheme="minorHAnsi" w:cstheme="minorHAnsi"/>
          <w:b/>
          <w:bCs/>
          <w:sz w:val="24"/>
          <w:szCs w:val="24"/>
          <w:u w:val="single"/>
        </w:rPr>
        <w:t>Application to join the Hypnosis and Psychosomatic Medicine Section</w:t>
      </w:r>
    </w:p>
    <w:p w14:paraId="45FE6391" w14:textId="77777777" w:rsidR="00520230" w:rsidRPr="00354B42" w:rsidRDefault="00520230" w:rsidP="00520230">
      <w:pPr>
        <w:pStyle w:val="NoSpacing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B3E9C86" w14:textId="77777777" w:rsidR="00520230" w:rsidRPr="00354B42" w:rsidRDefault="00520230" w:rsidP="0052023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4B42">
        <w:rPr>
          <w:rFonts w:asciiTheme="minorHAnsi" w:hAnsiTheme="minorHAnsi" w:cstheme="minorHAnsi"/>
          <w:color w:val="000000"/>
          <w:sz w:val="24"/>
          <w:szCs w:val="24"/>
        </w:rPr>
        <w:t xml:space="preserve">Thank you for your interest in joining the Hypnosis and Psychosomatic Medicine Section. Please fill in this form and return it to hypnosis@rsm.ac.uk for consideration. </w:t>
      </w:r>
    </w:p>
    <w:p w14:paraId="3C079B45" w14:textId="77777777" w:rsidR="00520230" w:rsidRPr="00354B42" w:rsidRDefault="00520230" w:rsidP="0052023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4B42">
        <w:rPr>
          <w:rFonts w:asciiTheme="minorHAnsi" w:hAnsiTheme="minorHAnsi" w:cstheme="minorHAnsi"/>
          <w:color w:val="000000"/>
          <w:sz w:val="24"/>
          <w:szCs w:val="24"/>
        </w:rPr>
        <w:t xml:space="preserve">Applications will be considered as soon as possible. The decision will be given, in part, based on evidence provided below. </w:t>
      </w:r>
    </w:p>
    <w:p w14:paraId="0ADC70B3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5DC3335" w14:textId="77777777" w:rsidR="00520230" w:rsidRPr="00354B42" w:rsidRDefault="00520230" w:rsidP="0052023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354B4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Membership criteria</w:t>
      </w:r>
    </w:p>
    <w:p w14:paraId="2BA54A3A" w14:textId="77777777" w:rsidR="00520230" w:rsidRPr="00354B42" w:rsidRDefault="00520230" w:rsidP="00520230">
      <w:pPr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 xml:space="preserve">Those eligible to join this section must hold a first or higher degree in a relevant discipline such as medicine, dentistry or fields related to psychology and be employed in, or retired from, a health-related field such as medicine, psychology, dentistry, nursing, etc., </w:t>
      </w:r>
      <w:r w:rsidRPr="00354B42">
        <w:rPr>
          <w:rFonts w:asciiTheme="minorHAnsi" w:hAnsiTheme="minorHAnsi" w:cstheme="minorHAnsi"/>
          <w:color w:val="000000"/>
          <w:sz w:val="24"/>
          <w:szCs w:val="24"/>
          <w:lang w:val="en-US"/>
        </w:rPr>
        <w:t>or be a student registered on</w:t>
      </w:r>
      <w:r w:rsidRPr="00354B42">
        <w:rPr>
          <w:rFonts w:asciiTheme="minorHAnsi" w:hAnsiTheme="minorHAnsi" w:cstheme="minorHAnsi"/>
          <w:sz w:val="24"/>
          <w:szCs w:val="24"/>
        </w:rPr>
        <w:t xml:space="preserve"> </w:t>
      </w:r>
      <w:r w:rsidRPr="00354B42">
        <w:rPr>
          <w:rFonts w:asciiTheme="minorHAnsi" w:hAnsiTheme="minorHAnsi" w:cstheme="minorHAnsi"/>
          <w:color w:val="000000"/>
          <w:sz w:val="24"/>
          <w:szCs w:val="24"/>
        </w:rPr>
        <w:t xml:space="preserve">a recognised university </w:t>
      </w:r>
      <w:r w:rsidRPr="00354B42">
        <w:rPr>
          <w:rFonts w:asciiTheme="minorHAnsi" w:hAnsiTheme="minorHAnsi" w:cstheme="minorHAnsi"/>
          <w:sz w:val="24"/>
          <w:szCs w:val="24"/>
        </w:rPr>
        <w:t xml:space="preserve">course leading towards a qualification in any of the above disciplines. </w:t>
      </w:r>
    </w:p>
    <w:p w14:paraId="7F1D61F7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444B33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4B42">
        <w:rPr>
          <w:rFonts w:asciiTheme="minorHAnsi" w:hAnsiTheme="minorHAnsi" w:cstheme="minorHAnsi"/>
          <w:color w:val="000000"/>
          <w:sz w:val="24"/>
          <w:szCs w:val="24"/>
        </w:rPr>
        <w:t>Applications are invited from those registered with, for example, the BABCP, GMC, GDC, NMC, HCPC and University-based Academics.</w:t>
      </w:r>
    </w:p>
    <w:p w14:paraId="4805B0C7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5BA68D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4B42">
        <w:rPr>
          <w:rFonts w:asciiTheme="minorHAnsi" w:hAnsiTheme="minorHAnsi" w:cstheme="minorHAnsi"/>
          <w:color w:val="000000"/>
          <w:sz w:val="24"/>
          <w:szCs w:val="24"/>
        </w:rPr>
        <w:t>A degree in psychology is NOT in itself a professional qualification and we do not accept hypnotherapy qualifications as clinical qualifications.</w:t>
      </w:r>
    </w:p>
    <w:p w14:paraId="6011240C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A0BC60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4B42">
        <w:rPr>
          <w:rFonts w:asciiTheme="minorHAnsi" w:hAnsiTheme="minorHAnsi" w:cstheme="minorHAnsi"/>
          <w:color w:val="000000"/>
          <w:sz w:val="24"/>
          <w:szCs w:val="24"/>
        </w:rPr>
        <w:t xml:space="preserve">Please complete your personal and qualification details in full: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44"/>
      </w:tblGrid>
      <w:tr w:rsidR="00520230" w:rsidRPr="00354B42" w14:paraId="6276CC7A" w14:textId="77777777" w:rsidTr="00CD3ADD">
        <w:trPr>
          <w:trHeight w:val="453"/>
        </w:trPr>
        <w:tc>
          <w:tcPr>
            <w:tcW w:w="2898" w:type="dxa"/>
            <w:shd w:val="clear" w:color="auto" w:fill="auto"/>
            <w:vAlign w:val="center"/>
          </w:tcPr>
          <w:p w14:paraId="0D676474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28564BF" w14:textId="11B00254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50A76BB5" w14:textId="77777777" w:rsidTr="00CD3ADD">
        <w:trPr>
          <w:trHeight w:val="430"/>
        </w:trPr>
        <w:tc>
          <w:tcPr>
            <w:tcW w:w="2898" w:type="dxa"/>
            <w:shd w:val="clear" w:color="auto" w:fill="auto"/>
            <w:vAlign w:val="center"/>
          </w:tcPr>
          <w:p w14:paraId="028F3D0A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Job title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C255E81" w14:textId="2856092A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16EFADCD" w14:textId="77777777" w:rsidTr="00CD3ADD">
        <w:trPr>
          <w:trHeight w:val="409"/>
        </w:trPr>
        <w:tc>
          <w:tcPr>
            <w:tcW w:w="2898" w:type="dxa"/>
            <w:shd w:val="clear" w:color="auto" w:fill="auto"/>
            <w:vAlign w:val="center"/>
          </w:tcPr>
          <w:p w14:paraId="41DBDE5D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Relevant qualification(s)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AEE66EF" w14:textId="07AA5007" w:rsidR="00FB6F2D" w:rsidRPr="00354B42" w:rsidRDefault="00FB6F2D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5F053985" w14:textId="77777777" w:rsidTr="00CD3ADD">
        <w:trPr>
          <w:trHeight w:val="415"/>
        </w:trPr>
        <w:tc>
          <w:tcPr>
            <w:tcW w:w="2898" w:type="dxa"/>
            <w:shd w:val="clear" w:color="auto" w:fill="auto"/>
            <w:vAlign w:val="center"/>
          </w:tcPr>
          <w:p w14:paraId="03EB5630" w14:textId="4A209580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Registering body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6561234" w14:textId="2BCCBFC3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4F1DC457" w14:textId="77777777" w:rsidTr="00CD3ADD">
        <w:trPr>
          <w:trHeight w:val="421"/>
        </w:trPr>
        <w:tc>
          <w:tcPr>
            <w:tcW w:w="2898" w:type="dxa"/>
            <w:shd w:val="clear" w:color="auto" w:fill="auto"/>
            <w:vAlign w:val="center"/>
          </w:tcPr>
          <w:p w14:paraId="3A048B1A" w14:textId="77777777" w:rsidR="00105D7D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Registering body number</w:t>
            </w:r>
          </w:p>
          <w:p w14:paraId="667C7B0E" w14:textId="0A8BFEA0" w:rsidR="00520230" w:rsidRPr="00354B42" w:rsidRDefault="00105D7D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hAnsiTheme="minorHAnsi" w:cstheme="minorHAnsi"/>
                <w:sz w:val="24"/>
                <w:szCs w:val="24"/>
              </w:rPr>
              <w:t>If retired, please provide registration number used when in practice</w:t>
            </w:r>
            <w:r w:rsidR="00520230"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089BCD3" w14:textId="182037B3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31EE2C46" w14:textId="77777777" w:rsidTr="00CD3ADD">
        <w:trPr>
          <w:trHeight w:val="421"/>
        </w:trPr>
        <w:tc>
          <w:tcPr>
            <w:tcW w:w="2898" w:type="dxa"/>
            <w:shd w:val="clear" w:color="auto" w:fill="auto"/>
            <w:vAlign w:val="center"/>
          </w:tcPr>
          <w:p w14:paraId="440227B4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1BA0606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Scope of current clinical practice </w:t>
            </w:r>
          </w:p>
          <w:p w14:paraId="7885E1A7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2EBCD4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14:paraId="1CB0F81D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C2B3DC9" w14:textId="77777777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0230" w:rsidRPr="00354B42" w14:paraId="5D0B5115" w14:textId="77777777" w:rsidTr="00520230">
        <w:trPr>
          <w:trHeight w:val="809"/>
        </w:trPr>
        <w:tc>
          <w:tcPr>
            <w:tcW w:w="9242" w:type="dxa"/>
            <w:gridSpan w:val="2"/>
            <w:shd w:val="clear" w:color="auto" w:fill="auto"/>
          </w:tcPr>
          <w:p w14:paraId="1925549F" w14:textId="158661C0" w:rsidR="00520230" w:rsidRPr="00354B42" w:rsidRDefault="00520230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Information about your hypnosis interests and why you should be a member of the Hypnosis and Psychosomatic Medicine </w:t>
            </w:r>
            <w:proofErr w:type="gramStart"/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>Section;</w:t>
            </w:r>
            <w:proofErr w:type="gramEnd"/>
            <w:r w:rsidRPr="00354B4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past and current hypnosis training and teaching. </w:t>
            </w:r>
          </w:p>
          <w:p w14:paraId="37EDB0F8" w14:textId="77777777" w:rsidR="00FB6F2D" w:rsidRPr="00354B42" w:rsidRDefault="00FB6F2D" w:rsidP="00CD3ADD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737EF0" w14:textId="77777777" w:rsidR="002A3714" w:rsidRPr="00354B42" w:rsidRDefault="002A3714" w:rsidP="00354B42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5253480" w14:textId="77777777" w:rsidR="00354B42" w:rsidRPr="00354B42" w:rsidRDefault="00354B42" w:rsidP="00354B42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498BF4" w14:textId="77777777" w:rsidR="00354B42" w:rsidRPr="00354B42" w:rsidRDefault="00354B42" w:rsidP="00354B42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2C0D69" w14:textId="23FA1FA1" w:rsidR="00354B42" w:rsidRPr="00354B42" w:rsidRDefault="00354B42" w:rsidP="00354B42">
            <w:pPr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1632679A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6BD31AC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54B42">
        <w:rPr>
          <w:rFonts w:asciiTheme="minorHAnsi" w:hAnsiTheme="minorHAnsi" w:cstheme="minorHAnsi"/>
          <w:b/>
          <w:bCs/>
          <w:sz w:val="24"/>
          <w:szCs w:val="24"/>
          <w:u w:val="single"/>
        </w:rPr>
        <w:t>Notes for applicants:</w:t>
      </w:r>
    </w:p>
    <w:p w14:paraId="43276C33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No Member may represent himself, in writing or verbally, as belonging to any category of Membership in the Society:</w:t>
      </w:r>
    </w:p>
    <w:p w14:paraId="5A6EBCC3" w14:textId="77777777" w:rsidR="00520230" w:rsidRPr="00354B42" w:rsidRDefault="00520230" w:rsidP="005202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In a manner which could associate the Society with personal opinions expressed by the Member.</w:t>
      </w:r>
    </w:p>
    <w:p w14:paraId="654C75AE" w14:textId="77777777" w:rsidR="00520230" w:rsidRPr="00354B42" w:rsidRDefault="00520230" w:rsidP="005202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Where this might be misconstrued as a title.</w:t>
      </w:r>
    </w:p>
    <w:p w14:paraId="414B832E" w14:textId="77777777" w:rsidR="00520230" w:rsidRPr="00354B42" w:rsidRDefault="00520230" w:rsidP="005202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When this might imply a professional qualification.  It is emphasised that the letters FRSM must not be used in such a way.</w:t>
      </w:r>
    </w:p>
    <w:p w14:paraId="08F455EE" w14:textId="77777777" w:rsidR="00520230" w:rsidRPr="00354B42" w:rsidRDefault="00520230" w:rsidP="005202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lastRenderedPageBreak/>
        <w:t>NB: Membership of the section implies compliance with the ESH Ethical guidelines which restricts the teaching of hypnosis to those who are eligible for membership of the section.  A council will be convened to consider the removal from the Section of any member not complying with Section membership rules and the ESH Ethical guidelines.</w:t>
      </w:r>
    </w:p>
    <w:p w14:paraId="20913340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 xml:space="preserve">Data protection: </w:t>
      </w:r>
    </w:p>
    <w:p w14:paraId="7D67E308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This information will be used to determine your eligibility to join the Hypnosis and Psychosomatic Medicine Section. This form will be sent to the Events Co-ordinator and the Membership Officer for the Hypnosis and Psychosomatic Medicine Section. It may also be made available to core members of the Hypnosis and Psychosomatic Medicine Section Council.</w:t>
      </w:r>
    </w:p>
    <w:p w14:paraId="157DA05F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F7E16BC" w14:textId="77777777" w:rsidR="00520230" w:rsidRPr="00354B42" w:rsidRDefault="00520230" w:rsidP="005202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 xml:space="preserve">Appeals process: </w:t>
      </w:r>
    </w:p>
    <w:p w14:paraId="35211DAE" w14:textId="1A411714" w:rsidR="00000000" w:rsidRPr="00354B42" w:rsidRDefault="00520230" w:rsidP="006F1F62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4B42">
        <w:rPr>
          <w:rFonts w:asciiTheme="minorHAnsi" w:hAnsiTheme="minorHAnsi" w:cstheme="minorHAnsi"/>
          <w:sz w:val="24"/>
          <w:szCs w:val="24"/>
        </w:rPr>
        <w:t>If your application to join the Hypnosis and Psychosomatic Medicine Section</w:t>
      </w:r>
      <w:r w:rsidRPr="00354B42" w:rsidDel="00C26EF6">
        <w:rPr>
          <w:rFonts w:asciiTheme="minorHAnsi" w:hAnsiTheme="minorHAnsi" w:cstheme="minorHAnsi"/>
          <w:sz w:val="24"/>
          <w:szCs w:val="24"/>
        </w:rPr>
        <w:t xml:space="preserve"> </w:t>
      </w:r>
      <w:r w:rsidRPr="00354B42">
        <w:rPr>
          <w:rFonts w:asciiTheme="minorHAnsi" w:hAnsiTheme="minorHAnsi" w:cstheme="minorHAnsi"/>
          <w:sz w:val="24"/>
          <w:szCs w:val="24"/>
        </w:rPr>
        <w:t>is unsuccessful and you believe that the information on this form should allow you to join, you may lodge an appeal to the Hypnosis and Psychosomatic Medicine Section</w:t>
      </w:r>
      <w:r w:rsidRPr="00354B42" w:rsidDel="00C26EF6">
        <w:rPr>
          <w:rFonts w:asciiTheme="minorHAnsi" w:hAnsiTheme="minorHAnsi" w:cstheme="minorHAnsi"/>
          <w:sz w:val="24"/>
          <w:szCs w:val="24"/>
        </w:rPr>
        <w:t xml:space="preserve"> </w:t>
      </w:r>
      <w:r w:rsidRPr="00354B42">
        <w:rPr>
          <w:rFonts w:asciiTheme="minorHAnsi" w:hAnsiTheme="minorHAnsi" w:cstheme="minorHAnsi"/>
          <w:sz w:val="24"/>
          <w:szCs w:val="24"/>
        </w:rPr>
        <w:t>Council for your application to be reconsidered.</w:t>
      </w:r>
    </w:p>
    <w:sectPr w:rsidR="00D32F3E" w:rsidRPr="00354B42" w:rsidSect="0052023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B9B"/>
    <w:multiLevelType w:val="hybridMultilevel"/>
    <w:tmpl w:val="7D38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0"/>
    <w:rsid w:val="00105D7D"/>
    <w:rsid w:val="00126777"/>
    <w:rsid w:val="002A3714"/>
    <w:rsid w:val="002D3604"/>
    <w:rsid w:val="00331C84"/>
    <w:rsid w:val="00354B42"/>
    <w:rsid w:val="00441A80"/>
    <w:rsid w:val="00481193"/>
    <w:rsid w:val="00497B33"/>
    <w:rsid w:val="00520230"/>
    <w:rsid w:val="00587A19"/>
    <w:rsid w:val="006F1F62"/>
    <w:rsid w:val="00884A08"/>
    <w:rsid w:val="008D2FA1"/>
    <w:rsid w:val="008E1528"/>
    <w:rsid w:val="009761DC"/>
    <w:rsid w:val="009D3529"/>
    <w:rsid w:val="00B5270F"/>
    <w:rsid w:val="00BA3054"/>
    <w:rsid w:val="00C37300"/>
    <w:rsid w:val="00CC4753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FBA4"/>
  <w15:docId w15:val="{556731FC-15C7-4D0B-BD87-88B063AC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30"/>
    <w:rPr>
      <w:rFonts w:ascii="Calibri" w:eastAsia="Times New Roman" w:hAnsi="Calibri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230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520230"/>
    <w:pPr>
      <w:spacing w:after="200" w:line="276" w:lineRule="auto"/>
      <w:ind w:left="720"/>
      <w:contextualSpacing/>
    </w:pPr>
    <w:rPr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owens</dc:creator>
  <cp:lastModifiedBy>Timea Takacs</cp:lastModifiedBy>
  <cp:revision>2</cp:revision>
  <dcterms:created xsi:type="dcterms:W3CDTF">2024-09-16T13:52:00Z</dcterms:created>
  <dcterms:modified xsi:type="dcterms:W3CDTF">2024-09-16T13:52:00Z</dcterms:modified>
</cp:coreProperties>
</file>